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6FE" w:rsidRPr="00EF6166" w:rsidRDefault="0014358A" w:rsidP="000C1A8A">
      <w:pPr>
        <w:spacing w:line="240" w:lineRule="auto"/>
        <w:ind w:left="5245"/>
        <w:rPr>
          <w:rFonts w:ascii="Times New Roman" w:eastAsia="Times New Roman" w:hAnsi="Times New Roman" w:cs="Times New Roman"/>
          <w:color w:val="000000"/>
          <w:sz w:val="24"/>
          <w:szCs w:val="28"/>
          <w:lang w:val="lt-LT"/>
        </w:rPr>
      </w:pPr>
      <w:r>
        <w:rPr>
          <w:rFonts w:ascii="Times New Roman" w:eastAsia="Times New Roman" w:hAnsi="Times New Roman" w:cs="Times New Roman"/>
          <w:color w:val="000000"/>
          <w:sz w:val="24"/>
          <w:szCs w:val="28"/>
          <w:lang w:val="lt-LT"/>
        </w:rPr>
        <w:t xml:space="preserve"> </w:t>
      </w:r>
      <w:r w:rsidR="00A276FE" w:rsidRPr="00EF6166">
        <w:rPr>
          <w:rFonts w:ascii="Times New Roman" w:eastAsia="Times New Roman" w:hAnsi="Times New Roman" w:cs="Times New Roman"/>
          <w:color w:val="000000"/>
          <w:sz w:val="24"/>
          <w:szCs w:val="28"/>
          <w:lang w:val="lt-LT"/>
        </w:rPr>
        <w:t>PATVIRTINTA</w:t>
      </w:r>
    </w:p>
    <w:p w:rsidR="00A276FE" w:rsidRPr="00EF6166" w:rsidRDefault="00A276FE" w:rsidP="000C1A8A">
      <w:pPr>
        <w:spacing w:line="240" w:lineRule="auto"/>
        <w:ind w:left="5245"/>
        <w:rPr>
          <w:rFonts w:ascii="Times New Roman" w:eastAsia="Times New Roman" w:hAnsi="Times New Roman" w:cs="Times New Roman"/>
          <w:color w:val="000000"/>
          <w:sz w:val="24"/>
          <w:szCs w:val="28"/>
          <w:lang w:val="lt-LT"/>
        </w:rPr>
      </w:pPr>
      <w:r>
        <w:rPr>
          <w:rFonts w:ascii="Times New Roman" w:eastAsia="Times New Roman" w:hAnsi="Times New Roman" w:cs="Times New Roman"/>
          <w:color w:val="000000"/>
          <w:sz w:val="24"/>
          <w:szCs w:val="28"/>
          <w:lang w:val="lt-LT"/>
        </w:rPr>
        <w:t xml:space="preserve"> </w:t>
      </w:r>
      <w:r w:rsidR="000C1A8A">
        <w:rPr>
          <w:rFonts w:ascii="Times New Roman" w:eastAsia="Times New Roman" w:hAnsi="Times New Roman" w:cs="Times New Roman"/>
          <w:color w:val="000000"/>
          <w:sz w:val="24"/>
          <w:szCs w:val="28"/>
          <w:lang w:val="lt-LT"/>
        </w:rPr>
        <w:t xml:space="preserve">Šalčininkų Jano Sniadeckio gimnazijos </w:t>
      </w:r>
      <w:r w:rsidR="005A6C36">
        <w:rPr>
          <w:rFonts w:ascii="Times New Roman" w:eastAsia="Times New Roman" w:hAnsi="Times New Roman" w:cs="Times New Roman"/>
          <w:color w:val="000000"/>
          <w:sz w:val="24"/>
          <w:szCs w:val="28"/>
          <w:lang w:val="lt-LT"/>
        </w:rPr>
        <w:t xml:space="preserve">  </w:t>
      </w:r>
      <w:r w:rsidR="000C1A8A">
        <w:rPr>
          <w:rFonts w:ascii="Times New Roman" w:eastAsia="Times New Roman" w:hAnsi="Times New Roman" w:cs="Times New Roman"/>
          <w:color w:val="000000"/>
          <w:sz w:val="24"/>
          <w:szCs w:val="28"/>
          <w:lang w:val="lt-LT"/>
        </w:rPr>
        <w:t xml:space="preserve">direktoriaus </w:t>
      </w:r>
      <w:r w:rsidR="005A6C36">
        <w:rPr>
          <w:rFonts w:ascii="Times New Roman" w:eastAsia="Times New Roman" w:hAnsi="Times New Roman" w:cs="Times New Roman"/>
          <w:color w:val="000000"/>
          <w:sz w:val="24"/>
          <w:szCs w:val="28"/>
          <w:lang w:val="lt-LT"/>
        </w:rPr>
        <w:t>2026</w:t>
      </w:r>
      <w:r w:rsidRPr="00EF6166">
        <w:rPr>
          <w:rFonts w:ascii="Times New Roman" w:eastAsia="Times New Roman" w:hAnsi="Times New Roman" w:cs="Times New Roman"/>
          <w:color w:val="000000"/>
          <w:sz w:val="24"/>
          <w:szCs w:val="28"/>
          <w:lang w:val="lt-LT"/>
        </w:rPr>
        <w:t xml:space="preserve"> m. </w:t>
      </w:r>
      <w:r w:rsidR="005A6C36">
        <w:rPr>
          <w:rFonts w:ascii="Times New Roman" w:eastAsia="Times New Roman" w:hAnsi="Times New Roman" w:cs="Times New Roman"/>
          <w:color w:val="000000"/>
          <w:sz w:val="24"/>
          <w:szCs w:val="28"/>
          <w:lang w:val="lt-LT"/>
        </w:rPr>
        <w:t>rugpjūčio 31</w:t>
      </w:r>
      <w:r>
        <w:rPr>
          <w:rFonts w:ascii="Times New Roman" w:eastAsia="Times New Roman" w:hAnsi="Times New Roman" w:cs="Times New Roman"/>
          <w:color w:val="000000"/>
          <w:sz w:val="24"/>
          <w:szCs w:val="28"/>
          <w:lang w:val="lt-LT"/>
        </w:rPr>
        <w:t xml:space="preserve"> </w:t>
      </w:r>
      <w:r w:rsidRPr="00EF6166">
        <w:rPr>
          <w:rFonts w:ascii="Times New Roman" w:eastAsia="Times New Roman" w:hAnsi="Times New Roman" w:cs="Times New Roman"/>
          <w:color w:val="000000"/>
          <w:sz w:val="24"/>
          <w:szCs w:val="28"/>
          <w:lang w:val="lt-LT"/>
        </w:rPr>
        <w:t xml:space="preserve">d. </w:t>
      </w:r>
    </w:p>
    <w:p w:rsidR="00A276FE" w:rsidRDefault="005A6C36" w:rsidP="000C1A8A">
      <w:pPr>
        <w:spacing w:line="240" w:lineRule="auto"/>
        <w:ind w:left="5245"/>
        <w:rPr>
          <w:rFonts w:ascii="Times New Roman" w:eastAsia="Times New Roman" w:hAnsi="Times New Roman" w:cs="Times New Roman"/>
          <w:color w:val="000000"/>
          <w:sz w:val="24"/>
          <w:szCs w:val="28"/>
          <w:lang w:val="lt-LT"/>
        </w:rPr>
      </w:pPr>
      <w:r>
        <w:rPr>
          <w:rFonts w:ascii="Times New Roman" w:eastAsia="Times New Roman" w:hAnsi="Times New Roman" w:cs="Times New Roman"/>
          <w:color w:val="000000"/>
          <w:sz w:val="24"/>
          <w:szCs w:val="28"/>
          <w:lang w:val="lt-LT"/>
        </w:rPr>
        <w:t xml:space="preserve"> įsakymu Nr. V-450</w:t>
      </w:r>
      <w:r w:rsidR="00A276FE" w:rsidRPr="00EF6166">
        <w:rPr>
          <w:rFonts w:ascii="Times New Roman" w:eastAsia="Times New Roman" w:hAnsi="Times New Roman" w:cs="Times New Roman"/>
          <w:color w:val="000000"/>
          <w:sz w:val="24"/>
          <w:szCs w:val="28"/>
          <w:lang w:val="lt-LT"/>
        </w:rPr>
        <w:t xml:space="preserve">  </w:t>
      </w:r>
    </w:p>
    <w:p w:rsidR="00A276FE" w:rsidRDefault="00A276FE" w:rsidP="000C1A8A">
      <w:pPr>
        <w:spacing w:line="240" w:lineRule="auto"/>
        <w:rPr>
          <w:rFonts w:ascii="Times New Roman" w:eastAsia="Times New Roman" w:hAnsi="Times New Roman" w:cs="Times New Roman"/>
          <w:sz w:val="24"/>
          <w:szCs w:val="24"/>
        </w:rPr>
      </w:pPr>
    </w:p>
    <w:p w:rsidR="00D111D8" w:rsidRDefault="00D111D8" w:rsidP="00D111D8">
      <w:pPr>
        <w:ind w:firstLine="53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Priešmokyklinio, pradinio, </w:t>
      </w:r>
    </w:p>
    <w:p w:rsidR="00D111D8" w:rsidRDefault="00D111D8" w:rsidP="00D111D8">
      <w:pPr>
        <w:ind w:firstLine="5387"/>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pagrindinio, vidurinio ugdymo</w:t>
      </w:r>
    </w:p>
    <w:p w:rsidR="00D111D8" w:rsidRDefault="00D111D8" w:rsidP="00D111D8">
      <w:pPr>
        <w:ind w:firstLine="53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programos ugdymo plano</w:t>
      </w:r>
    </w:p>
    <w:p w:rsidR="00D111D8" w:rsidRDefault="00D111D8" w:rsidP="00D111D8">
      <w:pPr>
        <w:ind w:firstLine="53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priedas Nr. 3a</w:t>
      </w:r>
    </w:p>
    <w:p w:rsidR="00D111D8" w:rsidRDefault="00D111D8" w:rsidP="00D111D8">
      <w:pPr>
        <w:spacing w:line="240" w:lineRule="auto"/>
        <w:jc w:val="right"/>
        <w:rPr>
          <w:rFonts w:ascii="Times New Roman" w:eastAsia="Times New Roman" w:hAnsi="Times New Roman" w:cs="Times New Roman"/>
          <w:sz w:val="24"/>
          <w:szCs w:val="24"/>
        </w:rPr>
      </w:pPr>
    </w:p>
    <w:p w:rsidR="00D111D8" w:rsidRDefault="00D111D8" w:rsidP="00D111D8">
      <w:pPr>
        <w:pStyle w:val="Priedai"/>
      </w:pPr>
      <w:bookmarkStart w:id="0" w:name="_heading=h.ckloili4ctfp" w:colFirst="0" w:colLast="0"/>
      <w:bookmarkStart w:id="1" w:name="_Toc238037064"/>
      <w:bookmarkEnd w:id="0"/>
      <w:r>
        <w:t>ŠALČININKŲ JANO SNIADECKIO GIMNAZIJOS PRADINIŲ KLASIŲ MOKINIŲ</w:t>
      </w:r>
      <w:bookmarkEnd w:id="1"/>
    </w:p>
    <w:p w:rsidR="00D111D8" w:rsidRDefault="00D111D8" w:rsidP="00D111D8">
      <w:pPr>
        <w:pStyle w:val="Priedai"/>
      </w:pPr>
      <w:bookmarkStart w:id="2" w:name="_Toc238037065"/>
      <w:r>
        <w:t>MOKYMOSI PASIEKIMŲ VERTINIMO IR VERTINIMO REZULTATŲ PANAUDOJIMO TVARKOS APRAŠAS</w:t>
      </w:r>
      <w:bookmarkEnd w:id="2"/>
    </w:p>
    <w:p w:rsidR="00D111D8" w:rsidRDefault="00D111D8" w:rsidP="00D111D8">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SKYRIUS</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BENDROSIOS NUOSTATOS</w:t>
      </w: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pBdr>
          <w:top w:val="nil"/>
          <w:left w:val="nil"/>
          <w:bottom w:val="nil"/>
          <w:right w:val="nil"/>
          <w:between w:val="nil"/>
        </w:pBdr>
        <w:spacing w:line="240" w:lineRule="auto"/>
        <w:jc w:val="both"/>
        <w:rPr>
          <w:rFonts w:ascii="Times New Roman" w:eastAsia="Times New Roman" w:hAnsi="Times New Roman" w:cs="Times New Roman"/>
          <w:color w:val="000000"/>
        </w:rPr>
      </w:pPr>
      <w:bookmarkStart w:id="3" w:name="_heading=h.p8sqftiyiwq6" w:colFirst="0" w:colLast="0"/>
      <w:bookmarkEnd w:id="3"/>
      <w:r>
        <w:rPr>
          <w:rFonts w:ascii="Times New Roman" w:eastAsia="Times New Roman" w:hAnsi="Times New Roman" w:cs="Times New Roman"/>
          <w:color w:val="000000"/>
        </w:rPr>
        <w:t xml:space="preserve">1.   Šalčininkų Jano Sniadeckio gimnazijos pradinių klasių mokinių mokymosi pasiekimų vertinimo ir vertinimo rezultatų panaudojimo tvarkos aprašas (toliau - Aprašas) parengtas, vadovaujantis Mokinių, kurie mokosi pagal bendrojo ugdymo programas, mokymosi pasiekimų vertinimo ir vertinimo rezultatų panaudojimo tvarkos aprašu, patvirtintu </w:t>
      </w:r>
      <w:r>
        <w:rPr>
          <w:rFonts w:ascii="Times New Roman" w:eastAsia="Times New Roman" w:hAnsi="Times New Roman" w:cs="Times New Roman"/>
          <w:color w:val="000000"/>
          <w:highlight w:val="white"/>
        </w:rPr>
        <w:t xml:space="preserve">Lietuvos Respublikos švietimo, mokslo ir sporto ministro 2023 m. rugpjūčio 31 d. įsakymu Nr. </w:t>
      </w:r>
      <w:r>
        <w:rPr>
          <w:rFonts w:ascii="Times New Roman" w:eastAsia="Times New Roman" w:hAnsi="Times New Roman" w:cs="Times New Roman"/>
          <w:color w:val="000000"/>
        </w:rPr>
        <w:t>V-1125 ,,Dėl Mokinių, kurie mokosi pagal bendrojo ugdymo programas, mokymosi pasiekimų vertinimo ir vertinimo rezultatų panaudojimo tvarkos aprašo patvirtinimo“ ir Nuosekliojo mokymosi pagal bendrojo ugdymo programas tvarkos aprašu, patvirtintu Lietuvos Respublikos švietimo, mokslo ir sporto ministro 2005 m. balandžio 5 d. įsakymu Nr. ISAK-556.</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Vertinimas suprantamas kaip mokytojo ir mokinio tarpusavio sąveika, kurios metu kaupiama informacija apie mokinio mokymąsi pažangą ir įvairiais būdais teikiamas grįžtamasis ryšys mokiniui apie jo pasiekimus, pateikiamos rekomendacijos dėl tolesnio mokymosi. Mokinio įgytų kompetencijų vertinimas yra integrali ugdymo proceso dalis.</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SKYRIUS</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MOKYMOSI PASIEKIMŲ VERTINIMO TIKSLAI</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Vertinimo tikslai: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padėti mokytis. Mokytojas kaupia  informaciją apie mokinių pasiekimus, teikia grįžtamąjį  ryšį, padeda mokiniui mokytis bei įveikti nesėkmes, taiko įvairias vertinimo bei įsivertinimo strategijas;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pripažinti ir sertifikuoti rezultatus. Mokytojas  nustato mokinių mokymosi pasiekimų lygį pasibaigus pusmečiui, baigus programos dalį arba visą programą;</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valdyti ugdymo proceso kokybę. Šis tikslas orientuotas į gimnazijos veiklos tobulinimą, būtinas gimnazijos sprendimams priimti.</w:t>
      </w:r>
    </w:p>
    <w:p w:rsidR="00D111D8" w:rsidRDefault="00D111D8" w:rsidP="00D111D8">
      <w:pPr>
        <w:spacing w:line="240" w:lineRule="auto"/>
        <w:ind w:left="700" w:firstLine="2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SKYRIUS</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MOKYMOSI PASIEKIMŲ VERTINIMO</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BŪDAI</w:t>
      </w:r>
    </w:p>
    <w:p w:rsidR="00D111D8" w:rsidRDefault="00D111D8" w:rsidP="00D111D8">
      <w:pPr>
        <w:spacing w:line="240" w:lineRule="auto"/>
        <w:ind w:left="700" w:firstLine="70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b/>
          <w:sz w:val="24"/>
          <w:szCs w:val="24"/>
        </w:rPr>
        <w:t xml:space="preserve">Formuojamasis </w:t>
      </w:r>
      <w:r>
        <w:rPr>
          <w:rFonts w:ascii="Times New Roman" w:eastAsia="Times New Roman" w:hAnsi="Times New Roman" w:cs="Times New Roman"/>
          <w:sz w:val="24"/>
          <w:szCs w:val="24"/>
        </w:rPr>
        <w:t>vertinimas tai cikliškas mokymo(si) metu gaunamos mokymosi informacijos panaudojimas tolesniam mokymui ir mokymuisi planuoti ar koreguoti. Pasiekimų lygiai vertinant formuojamuoju būdu nerašomi. Formuojamasis vertinimas apima:</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esamos mokymosi situacijos diagnozavimą, siekiant tikslingai pasirinkti tinkamą</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mokymo strategiją, mokymosi turinį, mokinių veiklą ir kt.;</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sąlygų mokiniams mokytis ir pademonstruoti, ką jie išmoko, sudarymą;</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 tolesnį mokymąsi, stimuliuojančio grįžtamojo ryšio teikimą. Grįžtamasis ryšys teikiamas įvairiomis formomis (žodžiu, raštu, neverbaline kalba).</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sąlygų mokiniams mokytis su bendraklasiais ir iš bendraklasių užtikrinimą</w:t>
      </w:r>
      <w:r>
        <w:rPr>
          <w:rFonts w:ascii="Times New Roman" w:eastAsia="Times New Roman" w:hAnsi="Times New Roman" w:cs="Times New Roman"/>
          <w:strike/>
          <w:sz w:val="24"/>
          <w:szCs w:val="24"/>
        </w:rPr>
        <w:t>.</w:t>
      </w:r>
      <w:r>
        <w:rPr>
          <w:rFonts w:ascii="Times New Roman" w:eastAsia="Times New Roman" w:hAnsi="Times New Roman" w:cs="Times New Roman"/>
          <w:sz w:val="24"/>
          <w:szCs w:val="24"/>
        </w:rPr>
        <w:t>;</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mokinių skatinimą permąstyti savo mokymosi patirtį ir įsivertinti pasiektą rezultatą.</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b/>
          <w:sz w:val="24"/>
          <w:szCs w:val="24"/>
        </w:rPr>
        <w:t>Apibendrinamasis</w:t>
      </w:r>
      <w:r>
        <w:rPr>
          <w:rFonts w:ascii="Times New Roman" w:eastAsia="Times New Roman" w:hAnsi="Times New Roman" w:cs="Times New Roman"/>
          <w:sz w:val="24"/>
          <w:szCs w:val="24"/>
        </w:rPr>
        <w:t xml:space="preserve"> vertinimas siejamas su mokymosi pasiekimų pripažinimu, juo siekiama nustatyti atliktos užduoties ir veiklos kokybę tam tikro standarto atžvilgiu. Instituciniu lygmeniu išskiriamas mokyklos vidinis ir išorinis apibendrinamasis vertinimas.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Mokyklos vidinis apibendrinamasis vertinimas skirstomas į:</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trumpesnio periodo apibendrinamąjį vertinimą, kai mokiniai atsiskaito už sutartos apimties mokymosi laikotarpį. Trumpesnio periodo vertinimus mokytojas suplanuoja rengdamas dalyko ilgalaikį planą, įvertinimus mokytojas pateikia komentaru;</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ilgesnio periodo apibendrinamąjį vertinimą, kai mokytojas apibendrina ilgesnio periodo rezultatus ir įvertina mokinio darbą per pusmetį arba mokslo metus. Apibendrinamajam vertinimui naudojami pasiekimų lygiai arba kiti ugdymo plane ar individualiuose mokinių planuose numatyti simboliai (pvz. atl.“, „įsk.“ ir kt.).</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Tinkamai įgyvendinamas apibendrinamasis vertinimas: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yra prasmingas, kai visos suinteresuotos pusės, įskaitant mokinius ir jų tėvus (globėjus, rūpintojus), aiškiai supranta, kokia mokymosi rezultatų prasmė, ką reiškia gauti mokymosi rezultatai, ką reikėtų daryti toliau;</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atitinka bendrosiose programose suformuluotus tikslus, apibrėžiančius, ką mokiniai turi mokėti, suprasti ir gebėti atlikti naudodami įgytas žinias;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remiasi kriterijais ir pasiekimų lygių aprašais. Siekdami mokinių mokymosi rezultatų palyginamumo, mokytojai vienodai interpretuoja pasiekimų lygių reikalavimus;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tikrinama mokinių mokymosi pažangą kelis kartus ir skirtingais vertinimo įrankiais; sprendimas apie mokinių gebėjimus grindžiamas daugiau nei vienu vertinimo būdu;</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vadovaujamasi aiškia vertinimo skale, aiškia visoms suinteresuotoms pusėms, vertinant tai ką mokinys atliko, o ne už tai, ko neatliko;</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remiamasi per tam tikrą laikotarpį sukauptais mokymosi pasiekimų įrodymais.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Pusmečio (mokslo metų) mokinių pasiekimai apibendrinami vertinant mokinio padarytą pažangą, orientuojantis į bendrosiose programose aprašytus mokinių pasiekimų lygių požymius atsižvelgiant į bendrųjų programų mokomųjų dalykų skyriuose Pasiekimų sritys ir raida apibrėžtus pasiekimų lygmenų požymius, įrašant dalyko pasiekimų lygmenį elektroniniame dienyne Tamo:</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8.1.pusmečio ir metinio vertinimas:</w:t>
      </w:r>
    </w:p>
    <w:p w:rsidR="00D111D8" w:rsidRDefault="00D111D8" w:rsidP="00D111D8">
      <w:pPr>
        <w:spacing w:line="240" w:lineRule="auto"/>
        <w:ind w:firstLine="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9025" w:type="dxa"/>
        <w:tblBorders>
          <w:top w:val="nil"/>
          <w:left w:val="nil"/>
          <w:bottom w:val="nil"/>
          <w:right w:val="nil"/>
          <w:insideH w:val="nil"/>
          <w:insideV w:val="nil"/>
        </w:tblBorders>
        <w:tblLayout w:type="fixed"/>
        <w:tblLook w:val="0000" w:firstRow="0" w:lastRow="0" w:firstColumn="0" w:lastColumn="0" w:noHBand="0" w:noVBand="0"/>
      </w:tblPr>
      <w:tblGrid>
        <w:gridCol w:w="9025"/>
      </w:tblGrid>
      <w:tr w:rsidR="00D111D8" w:rsidTr="008206D4">
        <w:trPr>
          <w:trHeight w:val="285"/>
        </w:trPr>
        <w:tc>
          <w:tcPr>
            <w:tcW w:w="90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Pasiekimų lygis:</w:t>
            </w:r>
          </w:p>
        </w:tc>
      </w:tr>
      <w:tr w:rsidR="00D111D8" w:rsidTr="008206D4">
        <w:trPr>
          <w:trHeight w:val="28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Aukštesnysis</w:t>
            </w:r>
          </w:p>
        </w:tc>
      </w:tr>
      <w:tr w:rsidR="00D111D8" w:rsidTr="008206D4">
        <w:trPr>
          <w:trHeight w:val="28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Pagrindinis</w:t>
            </w:r>
          </w:p>
        </w:tc>
      </w:tr>
      <w:tr w:rsidR="00D111D8" w:rsidTr="008206D4">
        <w:trPr>
          <w:trHeight w:val="28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Patenkinamas</w:t>
            </w:r>
          </w:p>
        </w:tc>
      </w:tr>
      <w:tr w:rsidR="00D111D8" w:rsidTr="008206D4">
        <w:trPr>
          <w:trHeight w:val="28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Slenkstinis</w:t>
            </w:r>
          </w:p>
        </w:tc>
      </w:tr>
      <w:tr w:rsidR="00D111D8" w:rsidTr="008206D4">
        <w:trPr>
          <w:trHeight w:val="28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Nepatenkinamas</w:t>
            </w:r>
          </w:p>
        </w:tc>
      </w:tr>
      <w:tr w:rsidR="00D111D8" w:rsidTr="008206D4">
        <w:trPr>
          <w:trHeight w:val="271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Fiksuojamas nepatenkinamas pusmečio dalyko įvertinimas tuo atveju, jei mokinys be pateisinamos priežasties nelankė mokyklos ir neatliko tuo laikotarpiu skirtų vertinimo užduočių (pvz., kontrolinių darbų ir kt.), nepademonstravo pasiekimų, numatytų pradinio ugdymo bendrosiose programos. Jei mokinys neatliko per pusmetį skirtų vertinimo užduočių dėl pateisintų priežasčių (pvz., ligos), fiksuojamas įrašas „atleista“ („atl.“). Jei pasibaigus ugdymo procesui skirtos užduotys suteikia mokiniui, kurio mokymosi pasiekimai mokantis pagal dalyko programą fiksuoti nepatenkinamu metiniu įvertinimu, galimybę pasiekti ne žemesnį kaip slenkstinį mokymosi pasiekimų lygį, nustatytą bendrosiose programose (toliau – papildomas darbas), tai papildomo darbo įvertinimas laikomas metiniu.</w:t>
            </w:r>
          </w:p>
        </w:tc>
      </w:tr>
    </w:tbl>
    <w:p w:rsidR="00D111D8" w:rsidRDefault="00D111D8" w:rsidP="00D111D8">
      <w:pPr>
        <w:spacing w:line="240" w:lineRule="auto"/>
        <w:ind w:firstLine="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8.2. atskirais pusmečiais ar visus mokslo metus atleistiems nuo fizinio ugdymo ir šokio pamokų mokiniams fiksuojamas įrašas „atleista“ („atl.“);</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baigus pradinio ugdymo programą klasės vadovas rengia Pradinio ugdymo programos baigimo pasiekimų ir pažangos vertinimo aprašą;</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8.4. 4 klasės mokinys, turintis bent vieno dalyko nepatenkinamą metinį (po papildomo darbo, jei buvo skirtas) įvertinimą ir (ar) nedalyvavęs be pateisintos priežasties lietuvių kalbos ir literatūros (skaitymo), matematikos, </w:t>
      </w:r>
      <w:r>
        <w:rPr>
          <w:rFonts w:ascii="Times New Roman" w:eastAsia="Times New Roman" w:hAnsi="Times New Roman" w:cs="Times New Roman"/>
          <w:sz w:val="24"/>
          <w:szCs w:val="24"/>
          <w:highlight w:val="white"/>
        </w:rPr>
        <w:t>tautinių mažumų (lenkų) gimtosios kalbos ir literatūros (skaitymo)</w:t>
      </w:r>
      <w:r>
        <w:rPr>
          <w:rFonts w:ascii="Times New Roman" w:eastAsia="Times New Roman" w:hAnsi="Times New Roman" w:cs="Times New Roman"/>
          <w:sz w:val="24"/>
          <w:szCs w:val="24"/>
        </w:rPr>
        <w:t xml:space="preserve"> nacionaliniuose mokinių pasiekimų patikrinimuose arba bent viename iš jų, paliekamas kartoti pradinio ugdymo programos 4 klasėje.</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Mokinio, turinčio kai kurių ugdymo plano dalykų nepatenkinamus metinius (papildomo darbo, jei buvo skirtas) įvertinimus, kėlimo į aukštesnę klasę, palikimo kartoti ugdymo programos ar papildomo darbo skyrimo klausimus svarsto mokinį ugdę mokytojai, kiti ugdymo procese dalyvavę asmenys (toliau – Mokytojai).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Jei iš pateiktų asmens mokymosi pasiekimus įteisinančių dokumentų, pokalbių ir kitų duomenų paaiškėja, kad asmens pasiekimai aukštesni arba žemesni, nei numatyti ugdymo programoje, pagal kurią mokosi jo bendraamžiai, asmuo turi teisę mokytis atitinkamai aukštesnėje klasėje arba klase žemiau. Jei mokinys yra nepilnametis, gimnazija sprendimą turi suderinti su jo tėvais (globėjais, rūpintojais).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Išorinį apibendrinamąjį vertinimą organizuoja Nacionalinė švietimo agentūra, kuri vykdo nacionalinius mokinių pasiekimų patikrinimus (toliau – NMPP) ugdymo kokybės valdymo tikslais. NMPP rezultatų pagrindu priimami vadybiniai sprendimai, susiję su pedagogų kvalifikacijos tobulinimo poreikiu, ugdymo organizavimu, mokymosi priemonių kokybe ar kitais klausimais. NMPP rezultatų pagrindu nelyginamos mokyklos – tai daryti griežtai draudžiama.</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Siekdama geresnės ugdymo kokybės, gimnazija taiko mokinių pasiekimų stebėsenos sistemą, vadovaudamasi šio Tvarkos aprašo VI skyriaus punktais.</w:t>
      </w:r>
    </w:p>
    <w:p w:rsidR="00D111D8" w:rsidRDefault="00D111D8" w:rsidP="00D111D8">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SKYRIUS</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MOKYMOSI PASIEKIMŲ VERTINIMO LYGMENYS</w:t>
      </w:r>
    </w:p>
    <w:p w:rsidR="00D111D8" w:rsidRDefault="00D111D8" w:rsidP="00D111D8">
      <w:pPr>
        <w:spacing w:line="24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Vertinimas mokykloje įgyvendinamas asmeniniu (mokinio), tarpasmeniniu (kelių mokinių), bendruomeniniu (klasės ir mokyklos) ir nacionaliniu lygmenimis, kurie turi derėti tarpusavyje ir sudaryti bendrą sistemą:</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asmeninis (mokinio) lygmuo apima mokinio konkrečių mokymosi pasiekimų įsivertinimą. Įsivertinimas yra planuojamas ir įgyvendinimas padedant mokytojui. Įsivertinimo metodus bei priemones mokytojas pasirenka, atsižvelgdamas į individualius mokinio poreikius, polinkius bei galimybes. Mokinių įsivertinimas ir ilgalaikis pažangos stebėjimas ugdo savivaldaus mokymosi gebėjimus;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tarpasmeninis (kelių mokinių) lygmuo apima mokinių tarpusavio įsivertinimą pagal konkrečias kompetencijas. Į(si)vertinimas yra planuojamas ir įgyvendinamas padedant mokytojui. Įsivertinimo metodus bei priemones mokytojas pasirenka, atsižvelgdamas į mokinių tarpusavio santykius, darbo mažesnėse ar didesnėse grupėse patirtį, grupių dinamiką ir kitas svarbias porų ir / ar grupių charakteristikas;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bendruomeninis klasės lygmuo apima mokytojo planuojamą ir įgyvendinamą mokinių pasiekimų vertinimą, siekiant visų trijų tikslų – padėti mokytis, pripažinti ir sertifikuoti rezultatus, valdyti mokymo(si) kokybę. Mokinių pasiekimų vertinimo būdus, metodus bei priemones mokytojas pasirenka, atsižvelgdamas į mokymo(si) tikslus, konkretaus mokomojo dalyko specifiką. Siekdamas adekvataus ir veiksmingo kompetencijų vertinimo, mokytojas atsižvelgia į visos klasės ir kiekvieno mokinio poreikius, polinkius bei galimybes ir prasmingai derina visus vertinimo būdus.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11.4. bendruomeninis mokyklos lygmuo apima šį Tvarkos aprašą, derantį su nacionalinio lygmens dokumentais. Siekdami diegti mokslu grįstą pažangią mokinių pasiekimų vertinimo praktiką, </w:t>
      </w:r>
      <w:r>
        <w:rPr>
          <w:rFonts w:ascii="Times New Roman" w:eastAsia="Times New Roman" w:hAnsi="Times New Roman" w:cs="Times New Roman"/>
          <w:sz w:val="24"/>
          <w:szCs w:val="24"/>
        </w:rPr>
        <w:lastRenderedPageBreak/>
        <w:t>pedagoginės bendruomenės nariai bendradarbiaudami tobulina profesines kompetencijas, kolegialiai priima sprendimus, drauge kuria bei palaiko vertinimo kultūrą bendruomenėje.</w:t>
      </w:r>
    </w:p>
    <w:p w:rsidR="00D111D8" w:rsidRDefault="00D111D8" w:rsidP="00D111D8">
      <w:pPr>
        <w:spacing w:line="240" w:lineRule="auto"/>
        <w:ind w:firstLine="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 SKYRIUS</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ĮGYTŲ KOMPETENCIJŲ VERTINIMAS</w:t>
      </w:r>
    </w:p>
    <w:p w:rsidR="00D111D8" w:rsidRDefault="00D111D8" w:rsidP="00D111D8">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Mokiniai kompetencijas ugdosi visoje mokyklos veikloje atlikdami užduotis pamokų metu ir dalyvaudami įvairiose ugdomosiose veiklose. Vertindami mokinių įgytas kompetencijas, mokytojai vadovaujasi nuostatomis, kad:</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ugdant mokinių kompetencijas jos vertinamos kartu su dalykiniais pasiekimais;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mokinių kompetencijos, įgytos dalyvaujant socialinėse, pilietinėse, kultūrinėse ir kitose ugdomosiose veiklose, vertinamos kaupiant mokinio darbų vertinimo aplanką, fiksuojant mokinių pasiekimų informaciją dienyne ir kitais mokytojo pasirinktais būdais.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Mokinio įgytoms kompetencijoms vertinti naudojami formuojamojo vertinimo būdai. Formuojamasis mokinio įgytų kompetencijų vertinimas skatina individualią pažangą ir kompetencijų ugdymą, todėl jam ugdymo procese mokytojas skiria daugiausia laiko ir dėmesio. Sukaupta informacija ir kiti mokinių įgytų kompetencijų įrodymai tam tikro mokymosi etapo pabaigoje apibendrinami rašytiniu komentaru.</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Planuojant mokinių įgytų kompetencijų vertinimą mokytojas numatomo mokymosi kelią, vedantį ugdymo siekinių link: pradedama nuo ugdymo siekinio įvardijimo ir jo suskaidymo į mažesnius žingsnius, kurie mokiniams padėtų artėti prie iš(si)kelto tikslo, po to planuojamas mokymosi turinys, numatant mokymosi užduotis ir parenkant veiklas: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ugdymo siekinių numatymas – vadovaujantis bendrosiomis programomis ir atsižvelgiant į mokinių mokymosi poreikius, klasės kontekstą ir gimnazijos kultūrą, mokytojas apibrėžia konkrečius ugdymo siekinius;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14.2. mokymosi žingsnių ir požymių planavimas – mokytojas numato, kokie mokymosi požymiai parodys, kad mokiniai, sėkmingai įveikdami mažesnius žingsnius, kryptingai juda link užsibrėžto siekinio;</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 mokymosi užduočių ir veiklų parinkimas – mokinių įgytų kompetencijų ugdymo pagrindas yra prasmingos veiklos ir turtingos užduotys. Jomis laikomos probleminės, tiriamosios, analitinės, projektinės ir kt. užduotys bei veiklos. Joms įgyvendinti mokytojas pasitelkia įvairius mokymosi šaltinius bei aplinkas, svarstomi mokiniams aktualūs klausimai bei problemos ir mokomasi skirtingose aplinkose. Jų išdava – mokinių priimti ir praktiškai taikomi sprendimai. Tokio pobūdžio užduotys ir veiklos ugdo aukštesnio lygmens mąstymą, padeda užtikrinti dermę tarp ugdymo siekinių, mokymosi veiklų bei vertinimo.</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Mokinio įgytoms kompetencijoms vertinti svarbus veiksmingas grįžtamasis ryšys, kuomet mokytojas mokiniui teikia informaciją apie jo pasiekimus ir mokymosi kelią ugdymo (pamokų) metu ir dalyvaujant socialinėse, pilietinėse, kultūrinėse bei kitose mokyklos ugdomosiose veiklose. Grįžtamasis ryšys yra abipusis, todėl teikdamas grįžtamąjį ryšį mokytojas palaiko mokinius, skatina būti atvirus, ieškoti, nebijoti klysti. Mokiniui svarbu sužinoti, ką ir kaip jam reikėtų tobulinti savo mokymosi procese, kad darytų pažangą ir gerėtų jo mokymosi pasiekimai: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 grįžtamąjį ryšį mokytojas teikia įvairiomis formomis (žodžiu, raštu, neverbaline kalba) ir skatinta mokinį pasitikėti savo jėgomis, siekti geresnių rezultatų, motyvuoja mokytis;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 teikiant grįžtamąjį ryšį mokytojas gali pasitelkti vertinimo įrankius, fiksuojančius kompetencijos augimą, pvz.: kompetencijų liudijimo aplankus; pasiekimų aprašus; mokinių įsivertinimo aprašus; mokinių veiklų stebėjimo aprašus; klausimynus (atvirų klausimų ir klausimų su atsakymais pasirinkimu) ir kt.;</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15.3. mokinio įgytoms kompetencijoms vertinti gali būti pasitelkiamas ir kaupiamasis vertinimas, sudarantis galimybes kaupti išsamią informaciją apie kompetencijų pokyčius ilgesnėje laiko atkarpoje bei panaudoti ją grįžtamajam ryšiui teikti. Kaupiamasis vertinimas turi remtis mokytojo kokybiniais pastebėjimais apie mokinio daromą pažangą, fiksuojamais mokytojui patogia forma, kuriais </w:t>
      </w:r>
      <w:r>
        <w:rPr>
          <w:rFonts w:ascii="Times New Roman" w:eastAsia="Times New Roman" w:hAnsi="Times New Roman" w:cs="Times New Roman"/>
          <w:sz w:val="24"/>
          <w:szCs w:val="24"/>
        </w:rPr>
        <w:lastRenderedPageBreak/>
        <w:t>remdamasis prireikus jis galėtų pagrįsti savo sprendimą apie galutinį apibendrintą mokinio pasiekimų vertinimą.</w:t>
      </w:r>
    </w:p>
    <w:p w:rsidR="00D111D8" w:rsidRDefault="00D111D8" w:rsidP="00D111D8">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111D8" w:rsidRDefault="00D111D8" w:rsidP="00D111D8">
      <w:pPr>
        <w:spacing w:line="240" w:lineRule="auto"/>
        <w:ind w:firstLine="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SKYRIUS</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VERTINIMO NUOSTATOS IR PRINCIPAI</w:t>
      </w:r>
    </w:p>
    <w:p w:rsidR="00D111D8" w:rsidRDefault="00D111D8" w:rsidP="00D111D8">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Mokinių pasiekimų vertinimo esmė – padėti mokiniui mokytis ir tobulėti. Mokinių pasiekimų vertinimas grindžiamas atvirumu, nešališkumu, visų mokyklos bendruomenės narių bendravimu ir bendradarbiavimu.</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Vertinant mokinių pasiekimus laikomasi nuostatos, jog kiekvienas mokinys gali augti ir tobulėti, kai jam sudaromos jo poreikius atitinkančios sąlygos bei teikiama reikalinga pagalba.</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Vertinami yra mokinių pasiekimai, todėl vertinimas negali būti suprantamas kaip apdovanojimo ar drausminimo priemonė. Mokinių užduočių neatlikimo (nepateikimo) atvejais vadovaujamasi Nuosekliojo mokymosi pagal bendrojo ugdymo programas tvarkos aprašu, patvirtintu Lietuvos Respublikos švietimo, mokslo ir sporto ministro 2005 m. balandžio 5 d. įsakymu Nr. ISAK556 „Dėl Nuosekliojo mokymosi pagal bendrojo ugdymo programas tvarkos aprašo patvirtinimo“.</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 Mokinių pažanga skatinama asmeninio tobulėjimo, o ne būti geresniam už kitą siekiu. Vertinant vengiama mokinių lyginimo tarpusavyje.</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Mokytojas, planuodamas, organizuodamas ir įgyvendindamas mokinių mokymosi pasiekimų vertinimą:</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 vadovaujasi Pedagogų etikos kodeksu, patvirtintu Lietuvos Respublikos švietimo ir mokslo ministro 2018 m. birželio 11 d. įsakymu Nr. V-561 „Dėl Pedagogų etikos kodekso patvirtinimo“;</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 ugdymo procese taiko adekvačius mokinių mokymosi pasiekimų stebėsenos ir vertinimo metodus;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20.3. kuria ir palaiko į mokymąsi orientuotą vertinimo kultūrą;</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20.4. kolegialiai sprendžia mokinių įgytų kompetencijų vertinimo klausimus;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20.5. nuolat reflektuoja savo mokymo, mokinių mokymosi pasiekimų ir įgytų kompetencijų vertinimo praktikas, jų pridėtinę vertę kiekvieno mokinio mokymuisi;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20.6. tobulina instrumentus, padedančius įvertinti mokinių mokymosi pasiekimus ir įgytas kompetencijas;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20.7. aptaria su mokiniais akademinio sąžiningumo klausimus ir galimas pasekmes nesilaikant sąžiningumo principo;</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20.8. principingai reaguoja į mokinių nesąžiningumo atvejus, tokius kaip plagijavimas, nusirašinėjimas, naudojimasis pašaline pagalba atsiskaitymų metu ir pan.;</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20.9.  teikia informaciją ir išsamiai paaiškina tėvams (globėjams, rūpintojams) apie mokinių mokymosi pasiekimus ir problemas;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20.10. vertinimo proceso metu gerbia mokinių privatumą ir išlaiko konfidencialumą;</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20.11. tinkamai tvarko mokinių mokymosi pasiekimų stebėsenos ir vertinimo duomenis.</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 SKYRIUS</w:t>
      </w: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MOKINIŲ PAŽANGOS, PASIEKIMŲ STEBĖJIMAS IR FIKSAVIMAS</w:t>
      </w:r>
      <w:r>
        <w:rPr>
          <w:rFonts w:ascii="Times New Roman" w:eastAsia="Times New Roman" w:hAnsi="Times New Roman" w:cs="Times New Roman"/>
          <w:sz w:val="24"/>
          <w:szCs w:val="24"/>
        </w:rPr>
        <w:t xml:space="preserve">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Pirmoje klasėje rugsėjo – spalio mėnesiais stebimas mokinių pasirengimo mokyklai lygis. Per mokslo metus vykdomi tarpiniai pasiekimų stebėjimai ir fiksavimai. Naujai atvykusių mokinių žinios ir gebėjimai patikrinami per pirmąjį mėnesį.</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Atsižvelgiant į dalykui skirtų pamokų skaičių ir mokinio lankomumą elektroniniame dienyne numatomas vertinimų fiksavimo periodiškumas per mėnesį:</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22.1. kai dalykui skirta 1 savaitinė valanda, mokinio pasiekimai vertinami ne mažiau kaip 1 įvertinimu (komentaru);</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kai dalykui skiriamos 2-3 savaitinės valandos, – ne mažiau kaip 2 įvertinimai (komentarai);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22.3. kai 4–5 savaitinės valandos, – ne mažiau kaip 3 įvertinimai (komentarai);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22.4. kai 7 savaitinės valandos, – ne mažiau kaip 4 įvertinimai (komentarai).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 Mokiniams, kurie mokosi pagal pritaikytas ar individualizuotas programas, mokymosi pasiekimai ir pažanga vertinami pagal šiose programose numatytus pasiekimų kriterijus.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Trumpalaikių apibendrinamųjų darbų parengimas ir įvertinimas:</w:t>
      </w:r>
    </w:p>
    <w:p w:rsidR="00D111D8" w:rsidRDefault="00D111D8" w:rsidP="00D111D8">
      <w:pPr>
        <w:spacing w:line="240" w:lineRule="auto"/>
        <w:ind w:firstLine="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24.1. patikrinamojo darbo turinį turi sudaryti šių gebėjimų reikalaujančios užduotys: </w:t>
      </w:r>
      <w:r>
        <w:rPr>
          <w:rFonts w:ascii="Times New Roman" w:eastAsia="Times New Roman" w:hAnsi="Times New Roman" w:cs="Times New Roman"/>
          <w:sz w:val="24"/>
          <w:szCs w:val="24"/>
          <w:highlight w:val="white"/>
        </w:rPr>
        <w:t>30 proc. slenkstinio ir patenkinamo lygio užduočių, 40 proc.  pagrindinio lygio ir 30 proc. aukštesniojo lygio užduočių.</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Vertinimo informacijos teikimas: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 mokytojas mokiniams nuolat teikia informaciją apie jų mokymąsi ir pažangą, ką jie jau pasiekė ir ką turėtų daryti, kad jų pasiekimai būtų geresni. Mokinių pasiekimai viešai tarpusavyje nelyginami; stebima ir vertinama konkretaus mokinio daroma pažanga, lyginant ankstesnius jo pasiekimus su dabartiniais;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25.2. informacija mokiniams gali būti teikiama žodžiu ir raštu. Raštu komentarai rašomi į sąsiuvinius, testų lapuose, įvertinant savarankiškus, kūrybinius ir kitus darbus, elektroninėse pratybose;</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25.3. informacija apie mokymosi rezultatus (kontrolinių, testų, ir kitų užduočių atlikimo) mokiniams ir tėvams (globėjams, rūpintojams) teikiama trumpais komentarais, lygiai nenurodomi;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25.4. tėvams (globėjams, rūpintojams) informacija apie vaiko mokymosi pasiekimus mokytojas pateikia elektroniniame dienyne, individualių konsultacijų metu, mokinio dienoraštyje, pildant kompetencijų skiltį kiekvieną savaitę ir mokymosi pasiekimų skiltį kiekvieną mėnesį;</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25.5. du kartus per mokslo metus organizuojami trišaliai (klasės vadovas, mokinys, jo tėvai (globėjai, rūpintojai) susitikimai, kurių metu aptariama mokymosi pažanga, mokymosi lūkesčiai, mokymosi poreikiai, numatomi būdai mokymosi pažangai gerinti. Prireikus ar iškilus mokymosi sunkumams tėvai (globėjai, rūpintojai) gali būti dažniau kviečiami individualiai konsultacijai, informuojami Tamo žinute ar telefonu, gali būti organizuojamas grįžtamasis trišalis susitikimas.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Mokytojas, remdamasis vertinimo metu gauta informacija apie mokinių pažangą, koreguoja ugdymo procesą, numato priemones mokymosi pažangai užtikrinti.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Nuotolinio ugdymo laikotarpiu mokytojai stebi ir fiksuoja mokinių mokymosi pažangą sinchroniniu būdu vykstančiose pamokose, veiklose ir analizuodamas mokinių atliktus darbus </w:t>
      </w:r>
      <w:r>
        <w:rPr>
          <w:rFonts w:ascii="Times New Roman" w:eastAsia="Times New Roman" w:hAnsi="Times New Roman" w:cs="Times New Roman"/>
          <w:sz w:val="24"/>
          <w:szCs w:val="24"/>
          <w:highlight w:val="white"/>
        </w:rPr>
        <w:t xml:space="preserve">Google for Education (Google Classroom) </w:t>
      </w:r>
      <w:r>
        <w:rPr>
          <w:rFonts w:ascii="Times New Roman" w:eastAsia="Times New Roman" w:hAnsi="Times New Roman" w:cs="Times New Roman"/>
          <w:sz w:val="24"/>
          <w:szCs w:val="24"/>
        </w:rPr>
        <w:t>aplinkoje bei kitose elektroninėse mokymosi aplinkose.</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28.Mokinių pasiekimų vertinimo lygiai ir procentinės išraiškos atitiktis: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28.1. Vertinant 1-4 klasių mokinių pasiekimus nuo 2024-2025 m. m.:</w:t>
      </w:r>
    </w:p>
    <w:p w:rsidR="00D111D8" w:rsidRDefault="00D111D8" w:rsidP="00D111D8">
      <w:pPr>
        <w:spacing w:line="240" w:lineRule="auto"/>
        <w:ind w:firstLine="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9024" w:type="dxa"/>
        <w:tblBorders>
          <w:top w:val="nil"/>
          <w:left w:val="nil"/>
          <w:bottom w:val="nil"/>
          <w:right w:val="nil"/>
          <w:insideH w:val="nil"/>
          <w:insideV w:val="nil"/>
        </w:tblBorders>
        <w:tblLayout w:type="fixed"/>
        <w:tblLook w:val="0000" w:firstRow="0" w:lastRow="0" w:firstColumn="0" w:lastColumn="0" w:noHBand="0" w:noVBand="0"/>
      </w:tblPr>
      <w:tblGrid>
        <w:gridCol w:w="2320"/>
        <w:gridCol w:w="2656"/>
        <w:gridCol w:w="4048"/>
      </w:tblGrid>
      <w:tr w:rsidR="00D111D8" w:rsidTr="008206D4">
        <w:trPr>
          <w:trHeight w:val="555"/>
        </w:trPr>
        <w:tc>
          <w:tcPr>
            <w:tcW w:w="2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Lygis</w:t>
            </w:r>
          </w:p>
        </w:tc>
        <w:tc>
          <w:tcPr>
            <w:tcW w:w="265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Procentinė išraiška</w:t>
            </w:r>
          </w:p>
        </w:tc>
        <w:tc>
          <w:tcPr>
            <w:tcW w:w="404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Žodžiai naudojami apibendrinamojo vertinimo komentaruose</w:t>
            </w:r>
          </w:p>
        </w:tc>
      </w:tr>
      <w:tr w:rsidR="00D111D8" w:rsidTr="008206D4">
        <w:trPr>
          <w:trHeight w:val="285"/>
        </w:trPr>
        <w:tc>
          <w:tcPr>
            <w:tcW w:w="23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Aukštesnysis</w:t>
            </w: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91–100</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Puikiai</w:t>
            </w:r>
          </w:p>
        </w:tc>
      </w:tr>
      <w:tr w:rsidR="00D111D8" w:rsidTr="008206D4">
        <w:trPr>
          <w:trHeight w:val="285"/>
        </w:trPr>
        <w:tc>
          <w:tcPr>
            <w:tcW w:w="232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widowControl w:val="0"/>
              <w:pBdr>
                <w:top w:val="nil"/>
                <w:left w:val="nil"/>
                <w:bottom w:val="nil"/>
                <w:right w:val="nil"/>
                <w:between w:val="nil"/>
              </w:pBdr>
              <w:rPr>
                <w:rFonts w:ascii="Times New Roman" w:eastAsia="Times New Roman" w:hAnsi="Times New Roman" w:cs="Times New Roman"/>
                <w:sz w:val="24"/>
                <w:szCs w:val="24"/>
              </w:rPr>
            </w:pP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81–90</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Labai gerai</w:t>
            </w:r>
          </w:p>
        </w:tc>
      </w:tr>
      <w:tr w:rsidR="00D111D8" w:rsidTr="008206D4">
        <w:trPr>
          <w:trHeight w:val="300"/>
        </w:trPr>
        <w:tc>
          <w:tcPr>
            <w:tcW w:w="23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Pagrindinis</w:t>
            </w: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61-80</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Gerai</w:t>
            </w:r>
          </w:p>
        </w:tc>
      </w:tr>
      <w:tr w:rsidR="00D111D8" w:rsidTr="008206D4">
        <w:trPr>
          <w:trHeight w:val="285"/>
        </w:trPr>
        <w:tc>
          <w:tcPr>
            <w:tcW w:w="23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Patenkinamas</w:t>
            </w: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41-60</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Reikia padirbėti</w:t>
            </w:r>
          </w:p>
        </w:tc>
      </w:tr>
      <w:tr w:rsidR="00D111D8" w:rsidTr="008206D4">
        <w:trPr>
          <w:trHeight w:val="285"/>
        </w:trPr>
        <w:tc>
          <w:tcPr>
            <w:tcW w:w="23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Slenkstinis</w:t>
            </w: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30–40</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Minimali pažanga</w:t>
            </w:r>
          </w:p>
        </w:tc>
      </w:tr>
      <w:tr w:rsidR="00D111D8" w:rsidTr="008206D4">
        <w:trPr>
          <w:trHeight w:val="285"/>
        </w:trPr>
        <w:tc>
          <w:tcPr>
            <w:tcW w:w="23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Nepatenkinamas</w:t>
            </w: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0–29</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Nepatenkinamai</w:t>
            </w:r>
          </w:p>
        </w:tc>
      </w:tr>
    </w:tbl>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VIII SKYRIUS</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MOKINIO MOKYMOSI PASIEKIMŲ FIKSAVIMAS BAIGIANTIS UGDYMO LAIKOTARPIUI IR PASIEKIMŲ APIBENDRINTŲ VERTINIMO REZULTATŲ PANAUDOJIMAS</w:t>
      </w:r>
    </w:p>
    <w:p w:rsidR="00D111D8" w:rsidRDefault="00D111D8" w:rsidP="00D111D8">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Jei mokinys atvyko iš užsienio arba besigydydamas namie, medicininės reabilitacijos ir sanatorinio gydymo sveikatos priežiūros įstaigoje, stacionarinėje asmens sveikatos priežiūros įstaigoje, teikiančioje medicinos pagalbą, teisės aktų nustatyta tvarka bent vienu ugdymo laikotarpiu kai kurių dalykų nesimokė, dalyko metinis įvertinimas fiksuojamas atsižvelgus į kitais (turimais) ugdymo laikotarpiais pasiektus mokymosi pasiekimus.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Mokytojas: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30.1. pasibaigus ugdymo procesui mokyklos vadovui siūlo: arba skirti mokiniui papildomą darbą, arba kelti į aukštesnę klasę, arba palikti kartoti ugdymo programos (1 priedas);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30.2. mokiniui skirdamas papildomą darbą, susitaria dėl galimos pakartotinio svarstymo dėl kėlimo į aukštesnę klasę ar palikimo kartoti ugdymo programos datos, papildomo darbo atlikimo trukmės, konsultacijų formų ir būdų, jų laiko, mokinio atsiskaitymo datos, atsižvelgia į mokinio tėvų (globėjų,) siūlymą ir kt. (2 priedas);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30.3. pakartotinai svarsto mokinio mokymosi pasiekimus, jei mokinio papildomas darbas buvo vertinamas nepatenkinamu įvertinimu arba praėjo nustatytas laikas, kada mokinys turi atsiskaityti (atlikti papildomą darbą). Išklauso mokinio tėvų (globėjų) nuomonę ir teikia siūlymą gimnazijos direktoriui.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Sprendimą dėl papildomo darbo skyrimo mokiniui, jo kėlimo į aukštesnę klasę ar palikimo kartoti ugdymo programą, atsižvelgęs į mokytojų siūlymą, ne vėliau nei paskutinę einamųjų mokslo metų darbo dieną priima gimnazijos direktorius. Sprendimas įforminamas gimnazijos direktoriaus įsakymu. Su įsakymu klasės vadovas supažindina mokinio tėvus (globėjus).</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Pusmečių ir metiniai įvertinimai turi būti išvedami ne vėliau kaip paskutinę pusmečio dieną.</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Direktoriaus pavaduotojas vykdo mokinių ilgalaikio apibendrinamojo vertinimo pasiekimų stebėseną, kartu su mokytojais analizuoja patikrų, pusmečių rezultatus, atlieka lyginamąją analizę. Atsižvelgiant į gautus duomenis, priima sprendimus dėl konkrečių mokinių pasiekimų gerinimo plano sudarymo ir jo įgyvendinimo.</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NMPP, gimnazijos vykdytų patikrų rezultatai, mokinių pasiekimų pusmečių ir metiniai vertinimai analizuojami mokytojų ar metodinės grupės susirinkimuose, atskirų klasių mokytojų pasitarimuose, prireikus Vaiko gerovės komisijoje.</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Vadovaujantis mokinių pusmečio, mokslo metų mokymosi pasiekimų analize mokytojas priima sprendimus dėl ugdymo turinio, mokymo metodų ir strategijų, mokymosi užduočių, šaltinių tinkamumo, išteklių panaudojimo veiksmingumo, ugdymo tikslų realumo, ugdymo proceso planavimo ar koregavimo.</w:t>
      </w:r>
    </w:p>
    <w:p w:rsidR="00D111D8" w:rsidRDefault="00D111D8" w:rsidP="00D111D8">
      <w:pPr>
        <w:spacing w:line="240" w:lineRule="auto"/>
        <w:jc w:val="both"/>
        <w:rPr>
          <w:rFonts w:ascii="Times New Roman" w:eastAsia="Times New Roman" w:hAnsi="Times New Roman" w:cs="Times New Roman"/>
          <w:b/>
          <w:sz w:val="24"/>
          <w:szCs w:val="24"/>
        </w:rPr>
      </w:pP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IX SKYRIUS</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SPECIALIŲJŲ POREIKIŲ MOKINIŲ PAŽANGOS IR PASIEKIMŲ VERTINIMAS</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 Specialiųjų poreikių mokinių pažanga ir pasiekimai vertinami pagal gimnazijos Vaiko gerovės komisijos parengtą Specialiųjų ugdymosi poreikių turinčių mokinių pažangos ir pasiekimų vertinimo aprašą, su kuriuo individualiai supažindinami mokiniai, jų tėvai (globėjai) ir mokantys mokytojai (Ugdymo plano 18 priedas).</w:t>
      </w:r>
    </w:p>
    <w:p w:rsidR="00D111D8" w:rsidRDefault="00D111D8" w:rsidP="00D111D8">
      <w:pPr>
        <w:spacing w:line="240" w:lineRule="auto"/>
        <w:ind w:firstLine="7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 SKYRIUS</w:t>
      </w:r>
    </w:p>
    <w:p w:rsidR="00D111D8" w:rsidRDefault="00D111D8" w:rsidP="00D111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BAIGIAMOSIOS NUOSTATOS</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 Gimnazijos vertinimo aprašu vadovaujasi visi mokytojai ir mokiniai.</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 Aprašas skelbiamas gimnazijos internetiniame tinklalapyje.</w:t>
      </w:r>
    </w:p>
    <w:p w:rsidR="00D111D8" w:rsidRDefault="00D111D8" w:rsidP="00D111D8">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Mokinių pažangos ir pasiekimų vertinimo tvarkos aprašas gali būti koreguojamas, atsižvelgiant į naujus patvirtintus dokumentus, reglamentuojančius ugdymo kokybės, mokinių pasiekimų vertinimą, jų įteisinimą, vertinimo rezultatų panaudojimą.</w:t>
      </w:r>
    </w:p>
    <w:p w:rsidR="00D111D8" w:rsidRDefault="00D111D8" w:rsidP="00D111D8">
      <w:pPr>
        <w:spacing w:line="240" w:lineRule="auto"/>
        <w:ind w:firstLine="20"/>
        <w:jc w:val="both"/>
        <w:rPr>
          <w:rFonts w:ascii="Times New Roman" w:eastAsia="Times New Roman" w:hAnsi="Times New Roman" w:cs="Times New Roman"/>
          <w:sz w:val="24"/>
          <w:szCs w:val="24"/>
        </w:rPr>
      </w:pP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w:t>
      </w:r>
    </w:p>
    <w:p w:rsidR="00D111D8" w:rsidRDefault="00D111D8" w:rsidP="00D111D8">
      <w:pPr>
        <w:spacing w:line="240" w:lineRule="auto"/>
        <w:ind w:right="9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ind w:right="9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ind w:left="5669"/>
        <w:jc w:val="both"/>
        <w:rPr>
          <w:rFonts w:ascii="Times New Roman" w:eastAsia="Times New Roman" w:hAnsi="Times New Roman" w:cs="Times New Roman"/>
        </w:rPr>
      </w:pPr>
    </w:p>
    <w:p w:rsidR="00D111D8" w:rsidRDefault="00D111D8" w:rsidP="00D111D8">
      <w:pPr>
        <w:spacing w:line="240" w:lineRule="auto"/>
        <w:ind w:left="5669"/>
        <w:jc w:val="both"/>
        <w:rPr>
          <w:rFonts w:ascii="Times New Roman" w:eastAsia="Times New Roman" w:hAnsi="Times New Roman" w:cs="Times New Roman"/>
        </w:rPr>
      </w:pPr>
    </w:p>
    <w:p w:rsidR="00D111D8" w:rsidRDefault="00D111D8" w:rsidP="00D111D8">
      <w:pPr>
        <w:spacing w:line="240" w:lineRule="auto"/>
        <w:ind w:left="5669"/>
        <w:jc w:val="both"/>
        <w:rPr>
          <w:rFonts w:ascii="Times New Roman" w:eastAsia="Times New Roman" w:hAnsi="Times New Roman" w:cs="Times New Roman"/>
        </w:rPr>
      </w:pPr>
    </w:p>
    <w:p w:rsidR="00D111D8" w:rsidRDefault="00D111D8" w:rsidP="00D111D8">
      <w:pPr>
        <w:spacing w:line="240" w:lineRule="auto"/>
        <w:ind w:left="5669"/>
        <w:jc w:val="both"/>
        <w:rPr>
          <w:rFonts w:ascii="Times New Roman" w:eastAsia="Times New Roman" w:hAnsi="Times New Roman" w:cs="Times New Roman"/>
        </w:rPr>
      </w:pPr>
    </w:p>
    <w:p w:rsidR="00D111D8" w:rsidRDefault="00D111D8" w:rsidP="00D111D8">
      <w:pPr>
        <w:spacing w:line="240" w:lineRule="auto"/>
        <w:jc w:val="both"/>
        <w:rPr>
          <w:rFonts w:ascii="Times New Roman" w:eastAsia="Times New Roman" w:hAnsi="Times New Roman" w:cs="Times New Roman"/>
        </w:rPr>
      </w:pPr>
    </w:p>
    <w:p w:rsidR="00D111D8" w:rsidRDefault="00D111D8" w:rsidP="00D111D8">
      <w:pPr>
        <w:spacing w:line="240" w:lineRule="auto"/>
        <w:ind w:left="5669"/>
        <w:jc w:val="both"/>
        <w:rPr>
          <w:rFonts w:ascii="Times New Roman" w:eastAsia="Times New Roman" w:hAnsi="Times New Roman" w:cs="Times New Roman"/>
        </w:rPr>
      </w:pPr>
      <w:r>
        <w:rPr>
          <w:rFonts w:ascii="Times New Roman" w:eastAsia="Times New Roman" w:hAnsi="Times New Roman" w:cs="Times New Roman"/>
        </w:rPr>
        <w:lastRenderedPageBreak/>
        <w:t>Šalčininkų Jano Sniadeckio gimnazijos pradinių klasių mokinių mokymosi pasiekimų vertinimo ir vertinimo rezultatų panaudojimo tvarkos aprašo 1 priedas</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ŠALČININKŲ JANO SNIADECKIO GIMNAZIJOS DIREKTORIUI</w:t>
      </w:r>
    </w:p>
    <w:p w:rsidR="00D111D8" w:rsidRDefault="00D111D8" w:rsidP="00D111D8">
      <w:pPr>
        <w:spacing w:line="240" w:lineRule="auto"/>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DĖL NEPATENKINAMO METINIO ĮVERTINIMO</w:t>
      </w:r>
    </w:p>
    <w:p w:rsidR="00D111D8" w:rsidRDefault="00D111D8" w:rsidP="00D111D8">
      <w:pPr>
        <w:spacing w:line="240" w:lineRule="auto"/>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 mokslo metai</w:t>
      </w:r>
    </w:p>
    <w:p w:rsidR="00D111D8" w:rsidRDefault="00D111D8" w:rsidP="00D111D8">
      <w:pPr>
        <w:spacing w:line="24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mokinio vardas, pavardė  ____________________________ klasė ___________</w:t>
      </w:r>
    </w:p>
    <w:p w:rsidR="00D111D8" w:rsidRDefault="00D111D8" w:rsidP="00D111D8">
      <w:pPr>
        <w:spacing w:line="24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dalykas ____________________________ įvertinimas ________________________</w:t>
      </w:r>
    </w:p>
    <w:p w:rsidR="00D111D8" w:rsidRDefault="00D111D8" w:rsidP="00D111D8">
      <w:pPr>
        <w:spacing w:line="24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priežastys, lėmusios dalyko nepatenkinamą įvertinimą (pildo mokinys)</w:t>
      </w:r>
    </w:p>
    <w:p w:rsidR="00D111D8" w:rsidRDefault="00D111D8" w:rsidP="00D111D8">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___________________________________________________________________________</w:t>
      </w:r>
    </w:p>
    <w:p w:rsidR="00D111D8" w:rsidRDefault="00D111D8" w:rsidP="00D111D8">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___________________________________________________________________________</w:t>
      </w:r>
    </w:p>
    <w:p w:rsidR="00D111D8" w:rsidRDefault="00D111D8" w:rsidP="00D111D8">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tbl>
      <w:tblPr>
        <w:tblW w:w="9025" w:type="dxa"/>
        <w:tblBorders>
          <w:top w:val="nil"/>
          <w:left w:val="nil"/>
          <w:bottom w:val="nil"/>
          <w:right w:val="nil"/>
          <w:insideH w:val="nil"/>
          <w:insideV w:val="nil"/>
        </w:tblBorders>
        <w:tblLayout w:type="fixed"/>
        <w:tblLook w:val="0000" w:firstRow="0" w:lastRow="0" w:firstColumn="0" w:lastColumn="0" w:noHBand="0" w:noVBand="0"/>
      </w:tblPr>
      <w:tblGrid>
        <w:gridCol w:w="4507"/>
        <w:gridCol w:w="4518"/>
      </w:tblGrid>
      <w:tr w:rsidR="00D111D8" w:rsidTr="008206D4">
        <w:trPr>
          <w:trHeight w:val="1095"/>
        </w:trPr>
        <w:tc>
          <w:tcPr>
            <w:tcW w:w="450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ir mokinio bendradarbiavimas</w:t>
            </w:r>
          </w:p>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siekiant pažangos</w:t>
            </w:r>
          </w:p>
        </w:tc>
        <w:tc>
          <w:tcPr>
            <w:tcW w:w="4518"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rsidR="00D111D8" w:rsidRDefault="00D111D8" w:rsidP="008206D4">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rsidR="00D111D8" w:rsidRDefault="00D111D8" w:rsidP="008206D4">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rsidR="00D111D8" w:rsidRDefault="00D111D8" w:rsidP="008206D4">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rsidR="00D111D8" w:rsidRDefault="00D111D8" w:rsidP="008206D4">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rsidR="00D111D8" w:rsidRDefault="00D111D8" w:rsidP="008206D4">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tc>
      </w:tr>
      <w:tr w:rsidR="00D111D8" w:rsidTr="008206D4">
        <w:trPr>
          <w:trHeight w:val="178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Ugdymosi būdai, metodai ir kita pagalba,</w:t>
            </w:r>
          </w:p>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kuri buvo taikoma, siekiant įveikti</w:t>
            </w:r>
          </w:p>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ugdymosi sunkumus</w:t>
            </w:r>
          </w:p>
        </w:tc>
        <w:tc>
          <w:tcPr>
            <w:tcW w:w="4518"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111D8" w:rsidRDefault="00D111D8" w:rsidP="008206D4">
            <w:pPr>
              <w:widowControl w:val="0"/>
              <w:pBdr>
                <w:top w:val="nil"/>
                <w:left w:val="nil"/>
                <w:bottom w:val="nil"/>
                <w:right w:val="nil"/>
                <w:between w:val="nil"/>
              </w:pBdr>
              <w:rPr>
                <w:rFonts w:ascii="Times New Roman" w:eastAsia="Times New Roman" w:hAnsi="Times New Roman" w:cs="Times New Roman"/>
                <w:sz w:val="24"/>
                <w:szCs w:val="24"/>
              </w:rPr>
            </w:pPr>
          </w:p>
        </w:tc>
      </w:tr>
    </w:tbl>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siūlymas dėl mokinio, turinčio dalyko nepatenkinamą metinį įvertinimą (pažymėti X):</w:t>
      </w:r>
    </w:p>
    <w:tbl>
      <w:tblPr>
        <w:tblW w:w="9025" w:type="dxa"/>
        <w:tblBorders>
          <w:top w:val="nil"/>
          <w:left w:val="nil"/>
          <w:bottom w:val="nil"/>
          <w:right w:val="nil"/>
          <w:insideH w:val="nil"/>
          <w:insideV w:val="nil"/>
        </w:tblBorders>
        <w:tblLayout w:type="fixed"/>
        <w:tblLook w:val="0000" w:firstRow="0" w:lastRow="0" w:firstColumn="0" w:lastColumn="0" w:noHBand="0" w:noVBand="0"/>
      </w:tblPr>
      <w:tblGrid>
        <w:gridCol w:w="914"/>
        <w:gridCol w:w="8111"/>
      </w:tblGrid>
      <w:tr w:rsidR="00D111D8" w:rsidTr="008206D4">
        <w:trPr>
          <w:trHeight w:val="285"/>
        </w:trPr>
        <w:tc>
          <w:tcPr>
            <w:tcW w:w="91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11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Skirti papildomą darbą*</w:t>
            </w:r>
          </w:p>
        </w:tc>
      </w:tr>
      <w:tr w:rsidR="00D111D8" w:rsidTr="008206D4">
        <w:trPr>
          <w:trHeight w:val="285"/>
        </w:trPr>
        <w:tc>
          <w:tcPr>
            <w:tcW w:w="91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111"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Kelti į aukštesnę klasę</w:t>
            </w:r>
          </w:p>
        </w:tc>
      </w:tr>
      <w:tr w:rsidR="00D111D8" w:rsidTr="008206D4">
        <w:trPr>
          <w:trHeight w:val="285"/>
        </w:trPr>
        <w:tc>
          <w:tcPr>
            <w:tcW w:w="91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111"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Palikti kartoti ugdymo programą.</w:t>
            </w:r>
          </w:p>
        </w:tc>
      </w:tr>
    </w:tbl>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Pagrindimas</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*PAPILDOMO DARBO SKYRIMAS: Papildomo darbo atsiskaitymo temos, konsultacijų formos ir būdai, vertinimas, atsiskaitymo data ir vieta fiksuota 2 priede.</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programa suderinta ir atiduota mokiniui.____________________________________________</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(mokytojo vardas, pavardė, parašas)</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sprendimas: _____________________________________________________________</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Pastabos.</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Mokinio, turinčio kai kurių ugdymo plano dalykų nepatenkinamus metinius (papildomo darbo, jei buvo skirtas) įvertinimus, kėlimo į aukštesnę klasę, palikimo kartoti ugdymo programos ar papildomo darbo skyrimo klausimus svarsto mokinį ugdę mokytojai, kiti ugdymo procese dalyvavę asmenys (klasės vadovas, psichologas, socialinis pedagogas, logopedas, specialusis pedagogas, direktoriaus pavaduotojas ugdymui ir kt.) (toliau – Mokytojai).</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Mokiniui skiriant papildomą darbą, atsižvelgiama į mokinio tėvų (globėjų, rūpintojų) siūlymą / pageidavimą.</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Mokytojai pakartotinai svarsto mokinio mokymosi pasiekimus, jei mokinio papildomas darbas buvo įvertintas nepatenkinamu įvertinimu arba praėjo nustatytas laikas, kada mokinys turėjo atsiskaityti (atlikti papildomą darbą). Išklauso mokinio tėvų (globėjų, rūpintojų) siūlymą / pageidavimą ir teikia siūlymą mokyklos vadovui.</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Mokytojas formas užpildo ir suderina su mokiniu, jo tėvais ne vėliau kaip per tris darbo dienas po metinio pažymio išvedimo.</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Mokytojas užpildytus dokumentus atiduoda klasės vadovui.</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Klasės vadovas surinktus dokumentus perduoda direktoriui.</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Direktoriaus sprendimas įforminamas įsakymu.</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Klasės vadovas supažindina tėvus ir mokinį su sprendimu.</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right"/>
        <w:rPr>
          <w:rFonts w:ascii="Times New Roman" w:eastAsia="Times New Roman" w:hAnsi="Times New Roman" w:cs="Times New Roman"/>
          <w:color w:val="FF9900"/>
          <w:sz w:val="24"/>
          <w:szCs w:val="24"/>
        </w:rPr>
      </w:pPr>
      <w:r>
        <w:rPr>
          <w:rFonts w:ascii="Times New Roman" w:eastAsia="Times New Roman" w:hAnsi="Times New Roman" w:cs="Times New Roman"/>
          <w:color w:val="FF9900"/>
          <w:sz w:val="24"/>
          <w:szCs w:val="24"/>
        </w:rPr>
        <w:t xml:space="preserve"> </w:t>
      </w: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rsidR="00D111D8" w:rsidRDefault="00D111D8" w:rsidP="00D111D8">
      <w:pPr>
        <w:spacing w:line="240" w:lineRule="auto"/>
        <w:jc w:val="right"/>
        <w:rPr>
          <w:rFonts w:ascii="Times New Roman" w:eastAsia="Times New Roman" w:hAnsi="Times New Roman" w:cs="Times New Roman"/>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bookmarkStart w:id="4" w:name="_GoBack"/>
      <w:bookmarkEnd w:id="4"/>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p>
    <w:p w:rsidR="00D111D8" w:rsidRDefault="00D111D8" w:rsidP="00D111D8">
      <w:pPr>
        <w:spacing w:line="240" w:lineRule="auto"/>
        <w:jc w:val="right"/>
        <w:rPr>
          <w:rFonts w:ascii="Times New Roman" w:eastAsia="Times New Roman" w:hAnsi="Times New Roman" w:cs="Times New Roman"/>
          <w:color w:val="FF9900"/>
          <w:sz w:val="24"/>
          <w:szCs w:val="24"/>
        </w:rPr>
      </w:pPr>
      <w:r>
        <w:rPr>
          <w:rFonts w:ascii="Times New Roman" w:eastAsia="Times New Roman" w:hAnsi="Times New Roman" w:cs="Times New Roman"/>
          <w:color w:val="FF9900"/>
          <w:sz w:val="24"/>
          <w:szCs w:val="24"/>
        </w:rPr>
        <w:t xml:space="preserve"> </w:t>
      </w:r>
    </w:p>
    <w:p w:rsidR="00D111D8" w:rsidRDefault="00D111D8" w:rsidP="00D111D8">
      <w:pPr>
        <w:spacing w:line="240" w:lineRule="auto"/>
        <w:ind w:left="5669"/>
        <w:jc w:val="both"/>
        <w:rPr>
          <w:rFonts w:ascii="Times New Roman" w:eastAsia="Times New Roman" w:hAnsi="Times New Roman" w:cs="Times New Roman"/>
        </w:rPr>
      </w:pPr>
      <w:r>
        <w:rPr>
          <w:rFonts w:ascii="Times New Roman" w:eastAsia="Times New Roman" w:hAnsi="Times New Roman" w:cs="Times New Roman"/>
        </w:rPr>
        <w:lastRenderedPageBreak/>
        <w:t>Šalčininkų Jano Sniadeckio gimnazijos pradinių klasių mokinių mokymosi pasiekimų vertinimo ir vertinimo rezultatų panaudojimo tvarkos aprašo 2 priedas</w:t>
      </w:r>
    </w:p>
    <w:p w:rsidR="00D111D8" w:rsidRDefault="00D111D8" w:rsidP="00D111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FF9900"/>
          <w:sz w:val="24"/>
          <w:szCs w:val="24"/>
        </w:rPr>
        <w:t xml:space="preserve"> </w:t>
      </w:r>
      <w:r>
        <w:rPr>
          <w:rFonts w:ascii="Times New Roman" w:eastAsia="Times New Roman" w:hAnsi="Times New Roman" w:cs="Times New Roman"/>
          <w:sz w:val="24"/>
          <w:szCs w:val="24"/>
        </w:rPr>
        <w:t>ATSISKAITYMO PROGRAMA</w:t>
      </w: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UŽ 20__–  20__ M. M. NEPATENKINAMĄ METINĮ ĮVERTINIMĄ</w:t>
      </w: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Mokinio vardas, pavardė ______________________________________ Klasė ______</w:t>
      </w: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TEMOS</w:t>
      </w: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(nurodyti, ką turi gebėti / mokėti)</w:t>
      </w:r>
    </w:p>
    <w:tbl>
      <w:tblPr>
        <w:tblW w:w="9025" w:type="dxa"/>
        <w:tblBorders>
          <w:top w:val="nil"/>
          <w:left w:val="nil"/>
          <w:bottom w:val="nil"/>
          <w:right w:val="nil"/>
          <w:insideH w:val="nil"/>
          <w:insideV w:val="nil"/>
        </w:tblBorders>
        <w:tblLayout w:type="fixed"/>
        <w:tblLook w:val="0000" w:firstRow="0" w:lastRow="0" w:firstColumn="0" w:lastColumn="0" w:noHBand="0" w:noVBand="0"/>
      </w:tblPr>
      <w:tblGrid>
        <w:gridCol w:w="4507"/>
        <w:gridCol w:w="4518"/>
      </w:tblGrid>
      <w:tr w:rsidR="00D111D8" w:rsidTr="008206D4">
        <w:trPr>
          <w:trHeight w:val="285"/>
        </w:trPr>
        <w:tc>
          <w:tcPr>
            <w:tcW w:w="450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Tema</w:t>
            </w:r>
          </w:p>
        </w:tc>
        <w:tc>
          <w:tcPr>
            <w:tcW w:w="451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Gebėjimai / užduotys / vertinimas</w:t>
            </w:r>
          </w:p>
        </w:tc>
      </w:tr>
      <w:tr w:rsidR="00D111D8" w:rsidTr="008206D4">
        <w:trPr>
          <w:trHeight w:val="28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111D8" w:rsidTr="008206D4">
        <w:trPr>
          <w:trHeight w:val="28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111D8" w:rsidTr="008206D4">
        <w:trPr>
          <w:trHeight w:val="28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111D8" w:rsidTr="008206D4">
        <w:trPr>
          <w:trHeight w:val="28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9025" w:type="dxa"/>
        <w:tblBorders>
          <w:top w:val="nil"/>
          <w:left w:val="nil"/>
          <w:bottom w:val="nil"/>
          <w:right w:val="nil"/>
          <w:insideH w:val="nil"/>
          <w:insideV w:val="nil"/>
        </w:tblBorders>
        <w:tblLayout w:type="fixed"/>
        <w:tblLook w:val="0000" w:firstRow="0" w:lastRow="0" w:firstColumn="0" w:lastColumn="0" w:noHBand="0" w:noVBand="0"/>
      </w:tblPr>
      <w:tblGrid>
        <w:gridCol w:w="4507"/>
        <w:gridCol w:w="4518"/>
      </w:tblGrid>
      <w:tr w:rsidR="00D111D8" w:rsidTr="008206D4">
        <w:trPr>
          <w:trHeight w:val="795"/>
        </w:trPr>
        <w:tc>
          <w:tcPr>
            <w:tcW w:w="450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Konsultacijų formos / būdai ir laikas</w:t>
            </w:r>
          </w:p>
          <w:p w:rsidR="00D111D8" w:rsidRDefault="00D111D8" w:rsidP="008206D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1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111D8" w:rsidTr="008206D4">
        <w:trPr>
          <w:trHeight w:val="79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laikas</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111D8" w:rsidTr="008206D4">
        <w:trPr>
          <w:trHeight w:val="79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Kabinetas</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8206D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Parengė _____________________________________</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SUSIPAŽINAU</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Mokinys ........................................</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20__-__-__</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Mokinio tėvai (globėjai, rūpintojai)</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(vardas, pavardė, parašas)</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(vardas, pavardė, parašas)</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20__-__</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Pastabos: Pildoma, jei priimamas sprendimas skirti papildomą darbą (pagal 1 priedą). Atsiskaitymo programa rengiama 2 egz., kurių vienas atiduodamas mokiniui, kitas lieka mokytojui.</w:t>
      </w:r>
    </w:p>
    <w:p w:rsidR="00D111D8" w:rsidRDefault="00D111D8" w:rsidP="00D111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111D8" w:rsidRDefault="00D111D8" w:rsidP="00D111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w:t>
      </w:r>
    </w:p>
    <w:p w:rsidR="00D111D8" w:rsidRDefault="00D111D8" w:rsidP="00D111D8">
      <w:pPr>
        <w:spacing w:line="240" w:lineRule="auto"/>
        <w:jc w:val="right"/>
        <w:rPr>
          <w:rFonts w:ascii="Times New Roman" w:eastAsia="Times New Roman" w:hAnsi="Times New Roman" w:cs="Times New Roman"/>
          <w:sz w:val="24"/>
          <w:szCs w:val="24"/>
        </w:rPr>
      </w:pPr>
    </w:p>
    <w:p w:rsidR="00D111D8" w:rsidRDefault="00D111D8" w:rsidP="00D111D8">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rsidR="004B351B" w:rsidRDefault="004B351B" w:rsidP="00D111D8">
      <w:pPr>
        <w:pBdr>
          <w:top w:val="nil"/>
          <w:left w:val="nil"/>
          <w:bottom w:val="nil"/>
          <w:right w:val="nil"/>
          <w:between w:val="nil"/>
        </w:pBdr>
        <w:spacing w:line="240" w:lineRule="auto"/>
        <w:ind w:firstLine="5103"/>
        <w:rPr>
          <w:rFonts w:ascii="Times New Roman" w:eastAsia="Times New Roman" w:hAnsi="Times New Roman" w:cs="Times New Roman"/>
          <w:sz w:val="24"/>
          <w:szCs w:val="24"/>
        </w:rPr>
      </w:pPr>
    </w:p>
    <w:sectPr w:rsidR="004B351B" w:rsidSect="0014358A">
      <w:headerReference w:type="default" r:id="rId9"/>
      <w:footerReference w:type="default" r:id="rId10"/>
      <w:footerReference w:type="first" r:id="rId11"/>
      <w:pgSz w:w="11906" w:h="16838"/>
      <w:pgMar w:top="1418" w:right="707" w:bottom="1134" w:left="1440" w:header="567" w:footer="567" w:gutter="0"/>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1D1" w:rsidRDefault="00C001D1">
      <w:pPr>
        <w:spacing w:line="240" w:lineRule="auto"/>
      </w:pPr>
      <w:r>
        <w:separator/>
      </w:r>
    </w:p>
  </w:endnote>
  <w:endnote w:type="continuationSeparator" w:id="0">
    <w:p w:rsidR="00C001D1" w:rsidRDefault="00C001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A8A" w:rsidRDefault="000C1A8A" w:rsidP="000C1A8A">
    <w:pPr>
      <w:pStyle w:val="Porat"/>
      <w:tabs>
        <w:tab w:val="clear" w:pos="4819"/>
        <w:tab w:val="clear" w:pos="9638"/>
        <w:tab w:val="left" w:pos="960"/>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6FE" w:rsidRDefault="00A276FE">
    <w:pPr>
      <w:pStyle w:val="Porat"/>
      <w:jc w:val="center"/>
    </w:pPr>
  </w:p>
  <w:p w:rsidR="00A276FE" w:rsidRDefault="00A276FE">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1D1" w:rsidRDefault="00C001D1">
      <w:pPr>
        <w:spacing w:line="240" w:lineRule="auto"/>
      </w:pPr>
      <w:r>
        <w:separator/>
      </w:r>
    </w:p>
  </w:footnote>
  <w:footnote w:type="continuationSeparator" w:id="0">
    <w:p w:rsidR="00C001D1" w:rsidRDefault="00C001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6FE" w:rsidRDefault="00C001D1" w:rsidP="000C1A8A">
    <w:pPr>
      <w:pStyle w:val="Antrats"/>
      <w:tabs>
        <w:tab w:val="clear" w:pos="4819"/>
        <w:tab w:val="clear" w:pos="9638"/>
        <w:tab w:val="left" w:pos="768"/>
      </w:tabs>
      <w:jc w:val="center"/>
    </w:pPr>
    <w:sdt>
      <w:sdtPr>
        <w:id w:val="-77985678"/>
        <w:docPartObj>
          <w:docPartGallery w:val="Page Numbers (Top of Page)"/>
          <w:docPartUnique/>
        </w:docPartObj>
      </w:sdtPr>
      <w:sdtEndPr/>
      <w:sdtContent>
        <w:r w:rsidR="00A276FE">
          <w:fldChar w:fldCharType="begin"/>
        </w:r>
        <w:r w:rsidR="00A276FE">
          <w:instrText>PAGE   \* MERGEFORMAT</w:instrText>
        </w:r>
        <w:r w:rsidR="00A276FE">
          <w:fldChar w:fldCharType="separate"/>
        </w:r>
        <w:r w:rsidR="00D111D8" w:rsidRPr="00D111D8">
          <w:rPr>
            <w:noProof/>
            <w:lang w:val="lt-LT"/>
          </w:rPr>
          <w:t>10</w:t>
        </w:r>
        <w:r w:rsidR="00A276FE">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977B4"/>
    <w:multiLevelType w:val="hybridMultilevel"/>
    <w:tmpl w:val="1A907182"/>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1" w15:restartNumberingAfterBreak="0">
    <w:nsid w:val="1A20019E"/>
    <w:multiLevelType w:val="multilevel"/>
    <w:tmpl w:val="851CFE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upperRoman"/>
      <w:lvlText w:val="%2."/>
      <w:lvlJc w:val="left"/>
      <w:pPr>
        <w:ind w:left="1800" w:hanging="72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6222CF2"/>
    <w:multiLevelType w:val="multilevel"/>
    <w:tmpl w:val="09E283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C1672DB"/>
    <w:multiLevelType w:val="multilevel"/>
    <w:tmpl w:val="31B8D38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C5B6CC9"/>
    <w:multiLevelType w:val="multilevel"/>
    <w:tmpl w:val="4648C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941B57"/>
    <w:multiLevelType w:val="multilevel"/>
    <w:tmpl w:val="0D68D3EE"/>
    <w:lvl w:ilvl="0">
      <w:start w:val="15"/>
      <w:numFmt w:val="decimal"/>
      <w:lvlText w:val="%1"/>
      <w:lvlJc w:val="left"/>
      <w:pPr>
        <w:ind w:left="420" w:hanging="420"/>
      </w:pPr>
    </w:lvl>
    <w:lvl w:ilvl="1">
      <w:start w:val="2"/>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 w15:restartNumberingAfterBreak="0">
    <w:nsid w:val="379F193F"/>
    <w:multiLevelType w:val="multilevel"/>
    <w:tmpl w:val="62E4632E"/>
    <w:lvl w:ilvl="0">
      <w:start w:val="2"/>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77E7C3B"/>
    <w:multiLevelType w:val="multilevel"/>
    <w:tmpl w:val="47CCDE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E7534AE"/>
    <w:multiLevelType w:val="multilevel"/>
    <w:tmpl w:val="46848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1F2412A"/>
    <w:multiLevelType w:val="multilevel"/>
    <w:tmpl w:val="7506CB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C39258D"/>
    <w:multiLevelType w:val="hybridMultilevel"/>
    <w:tmpl w:val="97AE88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3F9654B"/>
    <w:multiLevelType w:val="multilevel"/>
    <w:tmpl w:val="53B48E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7"/>
  </w:num>
  <w:num w:numId="2">
    <w:abstractNumId w:val="4"/>
  </w:num>
  <w:num w:numId="3">
    <w:abstractNumId w:val="8"/>
  </w:num>
  <w:num w:numId="4">
    <w:abstractNumId w:val="1"/>
  </w:num>
  <w:num w:numId="5">
    <w:abstractNumId w:val="2"/>
  </w:num>
  <w:num w:numId="6">
    <w:abstractNumId w:val="3"/>
  </w:num>
  <w:num w:numId="7">
    <w:abstractNumId w:val="6"/>
  </w:num>
  <w:num w:numId="8">
    <w:abstractNumId w:val="5"/>
  </w:num>
  <w:num w:numId="9">
    <w:abstractNumId w:val="11"/>
  </w:num>
  <w:num w:numId="10">
    <w:abstractNumId w:val="9"/>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1B"/>
    <w:rsid w:val="0002683E"/>
    <w:rsid w:val="000C1A8A"/>
    <w:rsid w:val="0014358A"/>
    <w:rsid w:val="00267723"/>
    <w:rsid w:val="00290893"/>
    <w:rsid w:val="00316083"/>
    <w:rsid w:val="00321094"/>
    <w:rsid w:val="0035139B"/>
    <w:rsid w:val="003D18D7"/>
    <w:rsid w:val="004776ED"/>
    <w:rsid w:val="004A1EC3"/>
    <w:rsid w:val="004B351B"/>
    <w:rsid w:val="005A6C36"/>
    <w:rsid w:val="007A60F6"/>
    <w:rsid w:val="007D4EF8"/>
    <w:rsid w:val="00897D95"/>
    <w:rsid w:val="00A276FE"/>
    <w:rsid w:val="00A969CB"/>
    <w:rsid w:val="00B63F4B"/>
    <w:rsid w:val="00C001D1"/>
    <w:rsid w:val="00C149E8"/>
    <w:rsid w:val="00D111D8"/>
    <w:rsid w:val="00D97216"/>
    <w:rsid w:val="00DD042E"/>
    <w:rsid w:val="00DE3CD0"/>
    <w:rsid w:val="00DF704E"/>
    <w:rsid w:val="00E11674"/>
    <w:rsid w:val="00E86C39"/>
    <w:rsid w:val="00EB48BB"/>
    <w:rsid w:val="00EF2B50"/>
    <w:rsid w:val="00EF6166"/>
    <w:rsid w:val="00F36D74"/>
    <w:rsid w:val="00F6245D"/>
    <w:rsid w:val="00FB020C"/>
    <w:rsid w:val="00FF14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7FAF86"/>
  <w15:docId w15:val="{3384D3CF-2F62-4699-9DF9-4EC6580F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lt" w:eastAsia="lt-L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Antrat1Diagrama">
    <w:name w:val="Antraštė 1 Diagrama"/>
    <w:basedOn w:val="Numatytasispastraiposriftas"/>
    <w:uiPriority w:val="9"/>
    <w:rsid w:val="00B122BA"/>
    <w:rPr>
      <w:rFonts w:ascii="Arial" w:eastAsia="Arial" w:hAnsi="Arial" w:cs="Arial"/>
      <w:b/>
      <w:color w:val="000000"/>
      <w:sz w:val="48"/>
      <w:szCs w:val="48"/>
      <w:lang w:val="lt-LT" w:eastAsia="lt-LT"/>
    </w:rPr>
  </w:style>
  <w:style w:type="character" w:customStyle="1" w:styleId="Antrat2Diagrama">
    <w:name w:val="Antraštė 2 Diagrama"/>
    <w:basedOn w:val="Numatytasispastraiposriftas"/>
    <w:uiPriority w:val="9"/>
    <w:rsid w:val="00B122BA"/>
    <w:rPr>
      <w:rFonts w:ascii="Arial" w:eastAsia="Arial" w:hAnsi="Arial" w:cs="Arial"/>
      <w:b/>
      <w:color w:val="000000"/>
      <w:sz w:val="36"/>
      <w:szCs w:val="36"/>
      <w:lang w:val="lt-LT" w:eastAsia="lt-LT"/>
    </w:rPr>
  </w:style>
  <w:style w:type="character" w:customStyle="1" w:styleId="Antrat3Diagrama">
    <w:name w:val="Antraštė 3 Diagrama"/>
    <w:basedOn w:val="Numatytasispastraiposriftas"/>
    <w:uiPriority w:val="9"/>
    <w:rsid w:val="00B122BA"/>
    <w:rPr>
      <w:rFonts w:ascii="Arial" w:eastAsia="Arial" w:hAnsi="Arial" w:cs="Arial"/>
      <w:b/>
      <w:color w:val="000000"/>
      <w:sz w:val="28"/>
      <w:szCs w:val="28"/>
      <w:lang w:val="lt-LT" w:eastAsia="lt-LT"/>
    </w:rPr>
  </w:style>
  <w:style w:type="character" w:customStyle="1" w:styleId="Antrat4Diagrama">
    <w:name w:val="Antraštė 4 Diagrama"/>
    <w:basedOn w:val="Numatytasispastraiposriftas"/>
    <w:rsid w:val="00B122BA"/>
    <w:rPr>
      <w:rFonts w:ascii="Arial" w:eastAsia="Arial" w:hAnsi="Arial" w:cs="Arial"/>
      <w:b/>
      <w:color w:val="000000"/>
      <w:sz w:val="24"/>
      <w:szCs w:val="24"/>
      <w:lang w:val="lt-LT" w:eastAsia="lt-LT"/>
    </w:rPr>
  </w:style>
  <w:style w:type="character" w:customStyle="1" w:styleId="Antrat5Diagrama">
    <w:name w:val="Antraštė 5 Diagrama"/>
    <w:basedOn w:val="Numatytasispastraiposriftas"/>
    <w:rsid w:val="00B122BA"/>
    <w:rPr>
      <w:rFonts w:ascii="Arial" w:eastAsia="Arial" w:hAnsi="Arial" w:cs="Arial"/>
      <w:b/>
      <w:color w:val="000000"/>
      <w:lang w:val="lt-LT" w:eastAsia="lt-LT"/>
    </w:rPr>
  </w:style>
  <w:style w:type="character" w:customStyle="1" w:styleId="Antrat6Diagrama">
    <w:name w:val="Antraštė 6 Diagrama"/>
    <w:basedOn w:val="Numatytasispastraiposriftas"/>
    <w:rsid w:val="00B122BA"/>
    <w:rPr>
      <w:rFonts w:ascii="Arial" w:eastAsia="Arial" w:hAnsi="Arial" w:cs="Arial"/>
      <w:b/>
      <w:color w:val="000000"/>
      <w:sz w:val="20"/>
      <w:szCs w:val="20"/>
      <w:lang w:val="lt-LT" w:eastAsia="lt-LT"/>
    </w:rPr>
  </w:style>
  <w:style w:type="table" w:customStyle="1" w:styleId="TableNormal2">
    <w:name w:val="Table Normal"/>
    <w:rsid w:val="00B122BA"/>
    <w:rPr>
      <w:lang w:val="lt-LT"/>
    </w:rPr>
    <w:tblPr>
      <w:tblCellMar>
        <w:top w:w="0" w:type="dxa"/>
        <w:left w:w="0" w:type="dxa"/>
        <w:bottom w:w="0" w:type="dxa"/>
        <w:right w:w="0" w:type="dxa"/>
      </w:tblCellMar>
    </w:tblPr>
  </w:style>
  <w:style w:type="character" w:customStyle="1" w:styleId="PavadinimasDiagrama">
    <w:name w:val="Pavadinimas Diagrama"/>
    <w:basedOn w:val="Numatytasispastraiposriftas"/>
    <w:rsid w:val="00B122BA"/>
    <w:rPr>
      <w:rFonts w:ascii="Arial" w:eastAsia="Arial" w:hAnsi="Arial" w:cs="Arial"/>
      <w:b/>
      <w:color w:val="000000"/>
      <w:sz w:val="72"/>
      <w:szCs w:val="72"/>
      <w:lang w:val="lt-LT" w:eastAsia="lt-LT"/>
    </w:rPr>
  </w:style>
  <w:style w:type="table" w:customStyle="1" w:styleId="TableNormal10">
    <w:name w:val="Table Normal1"/>
    <w:rsid w:val="00B122BA"/>
    <w:rPr>
      <w:lang w:val="lt-LT"/>
    </w:rPr>
    <w:tblPr>
      <w:tblCellMar>
        <w:top w:w="0" w:type="dxa"/>
        <w:left w:w="0" w:type="dxa"/>
        <w:bottom w:w="0" w:type="dxa"/>
        <w:right w:w="0" w:type="dxa"/>
      </w:tblCellMar>
    </w:tblPr>
  </w:style>
  <w:style w:type="character" w:customStyle="1" w:styleId="PaantratDiagrama">
    <w:name w:val="Paantraštė Diagrama"/>
    <w:basedOn w:val="Numatytasispastraiposriftas"/>
    <w:rsid w:val="00B122BA"/>
    <w:rPr>
      <w:rFonts w:ascii="Georgia" w:eastAsia="Georgia" w:hAnsi="Georgia" w:cs="Georgia"/>
      <w:i/>
      <w:color w:val="666666"/>
      <w:sz w:val="48"/>
      <w:szCs w:val="48"/>
      <w:lang w:val="lt-LT" w:eastAsia="lt-LT"/>
    </w:rPr>
  </w:style>
  <w:style w:type="paragraph" w:styleId="Antrats">
    <w:name w:val="header"/>
    <w:link w:val="AntratsDiagrama"/>
    <w:uiPriority w:val="99"/>
    <w:unhideWhenUsed/>
    <w:rsid w:val="00B122BA"/>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B122BA"/>
    <w:rPr>
      <w:rFonts w:ascii="Arial" w:eastAsia="Arial" w:hAnsi="Arial" w:cs="Arial"/>
      <w:color w:val="000000"/>
      <w:lang w:val="lt-LT" w:eastAsia="lt-LT"/>
    </w:rPr>
  </w:style>
  <w:style w:type="paragraph" w:styleId="Porat">
    <w:name w:val="footer"/>
    <w:link w:val="PoratDiagrama"/>
    <w:uiPriority w:val="99"/>
    <w:unhideWhenUsed/>
    <w:rsid w:val="00B122BA"/>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B122BA"/>
    <w:rPr>
      <w:rFonts w:ascii="Arial" w:eastAsia="Arial" w:hAnsi="Arial" w:cs="Arial"/>
      <w:color w:val="000000"/>
      <w:lang w:val="lt-LT" w:eastAsia="lt-LT"/>
    </w:rPr>
  </w:style>
  <w:style w:type="character" w:customStyle="1" w:styleId="Internetlink">
    <w:name w:val="Internet link"/>
    <w:rsid w:val="00B122BA"/>
    <w:rPr>
      <w:color w:val="0000FF"/>
      <w:u w:val="single"/>
    </w:rPr>
  </w:style>
  <w:style w:type="paragraph" w:customStyle="1" w:styleId="Default">
    <w:name w:val="Default"/>
    <w:rsid w:val="00B122BA"/>
    <w:pPr>
      <w:autoSpaceDE w:val="0"/>
      <w:autoSpaceDN w:val="0"/>
      <w:adjustRightInd w:val="0"/>
    </w:pPr>
    <w:rPr>
      <w:rFonts w:ascii="Times New Roman" w:hAnsi="Times New Roman" w:cs="Times New Roman"/>
      <w:color w:val="000000"/>
      <w:sz w:val="24"/>
      <w:szCs w:val="24"/>
      <w:lang w:val="lt-LT"/>
    </w:rPr>
  </w:style>
  <w:style w:type="paragraph" w:styleId="Sraopastraipa">
    <w:name w:val="List Paragraph"/>
    <w:uiPriority w:val="34"/>
    <w:qFormat/>
    <w:rsid w:val="00B122BA"/>
    <w:pPr>
      <w:ind w:left="720"/>
      <w:contextualSpacing/>
    </w:pPr>
  </w:style>
  <w:style w:type="paragraph" w:styleId="prastasiniatinklio">
    <w:name w:val="Normal (Web)"/>
    <w:uiPriority w:val="99"/>
    <w:unhideWhenUsed/>
    <w:rsid w:val="00B122BA"/>
    <w:pPr>
      <w:suppressAutoHyphens/>
      <w:autoSpaceDN w:val="0"/>
      <w:spacing w:before="100" w:after="119" w:line="240" w:lineRule="auto"/>
    </w:pPr>
    <w:rPr>
      <w:rFonts w:ascii="Times New Roman" w:eastAsia="Times New Roman" w:hAnsi="Times New Roman" w:cs="Times New Roman"/>
      <w:sz w:val="24"/>
      <w:szCs w:val="24"/>
      <w:lang w:val="ru-RU" w:eastAsia="ru-RU"/>
    </w:rPr>
  </w:style>
  <w:style w:type="character" w:styleId="Hipersaitas">
    <w:name w:val="Hyperlink"/>
    <w:uiPriority w:val="99"/>
    <w:unhideWhenUsed/>
    <w:rsid w:val="00B122BA"/>
    <w:rPr>
      <w:color w:val="0000FF"/>
      <w:u w:val="single"/>
    </w:rPr>
  </w:style>
  <w:style w:type="character" w:styleId="Eilutsnumeris">
    <w:name w:val="line number"/>
    <w:basedOn w:val="Numatytasispastraiposriftas"/>
    <w:uiPriority w:val="99"/>
    <w:semiHidden/>
    <w:unhideWhenUsed/>
    <w:rsid w:val="00B122BA"/>
  </w:style>
  <w:style w:type="character" w:styleId="Perirtashipersaitas">
    <w:name w:val="FollowedHyperlink"/>
    <w:uiPriority w:val="99"/>
    <w:semiHidden/>
    <w:unhideWhenUsed/>
    <w:rsid w:val="00B122BA"/>
    <w:rPr>
      <w:color w:val="800080"/>
      <w:u w:val="single"/>
    </w:rPr>
  </w:style>
  <w:style w:type="character" w:customStyle="1" w:styleId="st">
    <w:name w:val="st"/>
    <w:basedOn w:val="Numatytasispastraiposriftas"/>
    <w:rsid w:val="00B122BA"/>
  </w:style>
  <w:style w:type="character" w:styleId="Emfaz">
    <w:name w:val="Emphasis"/>
    <w:uiPriority w:val="20"/>
    <w:qFormat/>
    <w:rsid w:val="00B122BA"/>
    <w:rPr>
      <w:i/>
      <w:iCs/>
    </w:rPr>
  </w:style>
  <w:style w:type="paragraph" w:customStyle="1" w:styleId="AntrBUP1">
    <w:name w:val="AntrBUP1"/>
    <w:autoRedefine/>
    <w:qFormat/>
    <w:rsid w:val="005A6C36"/>
    <w:pPr>
      <w:suppressAutoHyphens/>
      <w:autoSpaceDN w:val="0"/>
      <w:spacing w:before="120" w:line="240" w:lineRule="auto"/>
      <w:jc w:val="center"/>
      <w:textAlignment w:val="baseline"/>
    </w:pPr>
    <w:rPr>
      <w:rFonts w:ascii="Times New Roman" w:eastAsia="Times New Roman" w:hAnsi="Times New Roman" w:cs="Times New Roman"/>
      <w:b/>
      <w:bCs/>
      <w:color w:val="595959"/>
      <w:sz w:val="24"/>
      <w:szCs w:val="24"/>
      <w:lang w:eastAsia="ar-SA"/>
    </w:rPr>
  </w:style>
  <w:style w:type="paragraph" w:customStyle="1" w:styleId="AntrBUP2">
    <w:name w:val="AntrBUP2"/>
    <w:autoRedefine/>
    <w:qFormat/>
    <w:rsid w:val="00B122BA"/>
    <w:pPr>
      <w:suppressAutoHyphens/>
      <w:autoSpaceDN w:val="0"/>
      <w:spacing w:after="120" w:line="240" w:lineRule="auto"/>
      <w:jc w:val="center"/>
      <w:textAlignment w:val="baseline"/>
    </w:pPr>
    <w:rPr>
      <w:rFonts w:ascii="Times New Roman" w:eastAsia="Times New Roman" w:hAnsi="Times New Roman" w:cs="Times New Roman"/>
      <w:bCs/>
      <w:color w:val="404040"/>
      <w:sz w:val="24"/>
      <w:szCs w:val="26"/>
      <w:lang w:eastAsia="ar-SA"/>
    </w:rPr>
  </w:style>
  <w:style w:type="paragraph" w:customStyle="1" w:styleId="AntrBUP3">
    <w:name w:val="AntrBUP3"/>
    <w:autoRedefine/>
    <w:qFormat/>
    <w:rsid w:val="00B122BA"/>
    <w:pPr>
      <w:suppressAutoHyphens/>
      <w:autoSpaceDN w:val="0"/>
      <w:spacing w:after="120" w:line="240" w:lineRule="auto"/>
      <w:jc w:val="center"/>
      <w:textAlignment w:val="baseline"/>
    </w:pPr>
    <w:rPr>
      <w:rFonts w:ascii="Times New Roman" w:eastAsia="Times New Roman" w:hAnsi="Times New Roman" w:cs="Times New Roman"/>
      <w:bCs/>
      <w:color w:val="404040"/>
      <w:sz w:val="24"/>
      <w:szCs w:val="24"/>
      <w:lang w:val="pt-BR" w:eastAsia="ar-SA"/>
    </w:rPr>
  </w:style>
  <w:style w:type="character" w:customStyle="1" w:styleId="Veikmas">
    <w:name w:val="Veikmas"/>
    <w:uiPriority w:val="1"/>
    <w:qFormat/>
    <w:rsid w:val="00B122BA"/>
    <w:rPr>
      <w:color w:val="FF0000"/>
    </w:rPr>
  </w:style>
  <w:style w:type="paragraph" w:customStyle="1" w:styleId="font5">
    <w:name w:val="font5"/>
    <w:rsid w:val="00B122BA"/>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3">
    <w:name w:val="xl63"/>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4">
    <w:name w:val="xl6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5">
    <w:name w:val="xl6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6">
    <w:name w:val="xl6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0">
    <w:name w:val="xl7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1">
    <w:name w:val="xl7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72">
    <w:name w:val="xl72"/>
    <w:rsid w:val="00B122B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rsid w:val="00B122BA"/>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rsid w:val="00B122BA"/>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rsid w:val="00B122BA"/>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rsid w:val="00B122B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rsid w:val="00B122BA"/>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rsid w:val="00B122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rsid w:val="00B122BA"/>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rsid w:val="00B122B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rsid w:val="00B122BA"/>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rsid w:val="00B122BA"/>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rsid w:val="00B122BA"/>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rsid w:val="00B122B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rsid w:val="00B122B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rsid w:val="00B122B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rsid w:val="00B122B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8">
    <w:name w:val="xl88"/>
    <w:rsid w:val="00B122B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9">
    <w:name w:val="xl8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90">
    <w:name w:val="xl9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91">
    <w:name w:val="xl91"/>
    <w:rsid w:val="00B122BA"/>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styleId="Pagrindinistekstas">
    <w:name w:val="Body Text"/>
    <w:link w:val="PagrindinistekstasDiagrama"/>
    <w:rsid w:val="00B122BA"/>
    <w:pPr>
      <w:widowControl w:val="0"/>
      <w:spacing w:line="240" w:lineRule="auto"/>
      <w:ind w:left="102" w:firstLine="1295"/>
    </w:pPr>
    <w:rPr>
      <w:rFonts w:ascii="Times New Roman" w:eastAsia="Calibri" w:hAnsi="Times New Roman" w:cs="Times New Roman"/>
      <w:sz w:val="24"/>
      <w:szCs w:val="24"/>
      <w:lang w:val="en-US"/>
    </w:rPr>
  </w:style>
  <w:style w:type="character" w:customStyle="1" w:styleId="PagrindinistekstasDiagrama">
    <w:name w:val="Pagrindinis tekstas Diagrama"/>
    <w:basedOn w:val="Numatytasispastraiposriftas"/>
    <w:link w:val="Pagrindinistekstas"/>
    <w:rsid w:val="00B122BA"/>
    <w:rPr>
      <w:rFonts w:ascii="Times New Roman" w:eastAsia="Calibri" w:hAnsi="Times New Roman" w:cs="Times New Roman"/>
      <w:sz w:val="24"/>
      <w:szCs w:val="24"/>
      <w:lang w:eastAsia="lt-LT"/>
    </w:rPr>
  </w:style>
  <w:style w:type="character" w:customStyle="1" w:styleId="BodyTextChar">
    <w:name w:val="Body Text Char"/>
    <w:basedOn w:val="Numatytasispastraiposriftas"/>
    <w:uiPriority w:val="99"/>
    <w:semiHidden/>
    <w:rsid w:val="00B122BA"/>
  </w:style>
  <w:style w:type="character" w:styleId="Grietas">
    <w:name w:val="Strong"/>
    <w:uiPriority w:val="22"/>
    <w:qFormat/>
    <w:rsid w:val="00B122BA"/>
    <w:rPr>
      <w:b/>
      <w:bCs/>
    </w:rPr>
  </w:style>
  <w:style w:type="paragraph" w:customStyle="1" w:styleId="Lentelsturinys">
    <w:name w:val="Lentelės turinys"/>
    <w:rsid w:val="00B122BA"/>
    <w:pPr>
      <w:widowControl w:val="0"/>
      <w:suppressLineNumbers/>
      <w:suppressAutoHyphens/>
      <w:spacing w:line="240" w:lineRule="auto"/>
    </w:pPr>
    <w:rPr>
      <w:rFonts w:ascii="Times New Roman" w:eastAsia="Arial Unicode MS" w:hAnsi="Times New Roman" w:cs="Times New Roman"/>
      <w:sz w:val="24"/>
      <w:szCs w:val="24"/>
    </w:rPr>
  </w:style>
  <w:style w:type="paragraph" w:customStyle="1" w:styleId="TableContents">
    <w:name w:val="Table Contents"/>
    <w:rsid w:val="00B122BA"/>
    <w:pPr>
      <w:widowControl w:val="0"/>
      <w:suppressLineNumbers/>
      <w:suppressAutoHyphens/>
      <w:spacing w:line="240" w:lineRule="auto"/>
    </w:pPr>
    <w:rPr>
      <w:rFonts w:ascii="Times New Roman" w:eastAsia="Arial Unicode MS" w:hAnsi="Times New Roman" w:cs="Arial Unicode MS"/>
      <w:kern w:val="1"/>
      <w:sz w:val="24"/>
      <w:szCs w:val="24"/>
      <w:lang w:eastAsia="hi-IN" w:bidi="hi-IN"/>
    </w:rPr>
  </w:style>
  <w:style w:type="paragraph" w:styleId="Debesliotekstas">
    <w:name w:val="Balloon Text"/>
    <w:link w:val="DebesliotekstasDiagrama"/>
    <w:uiPriority w:val="99"/>
    <w:semiHidden/>
    <w:unhideWhenUsed/>
    <w:rsid w:val="00B122BA"/>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22BA"/>
    <w:rPr>
      <w:rFonts w:ascii="Tahoma" w:eastAsia="Arial" w:hAnsi="Tahoma" w:cs="Tahoma"/>
      <w:color w:val="000000"/>
      <w:sz w:val="16"/>
      <w:szCs w:val="16"/>
      <w:lang w:val="lt-LT" w:eastAsia="lt-LT"/>
    </w:rPr>
  </w:style>
  <w:style w:type="table" w:styleId="Lentelstinklelis">
    <w:name w:val="Table Grid"/>
    <w:basedOn w:val="prastojilentel"/>
    <w:uiPriority w:val="59"/>
    <w:rsid w:val="00B122BA"/>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Sraonra"/>
    <w:uiPriority w:val="99"/>
    <w:semiHidden/>
    <w:unhideWhenUsed/>
    <w:rsid w:val="00B122BA"/>
  </w:style>
  <w:style w:type="numbering" w:customStyle="1" w:styleId="NoList2">
    <w:name w:val="No List2"/>
    <w:next w:val="Sraonra"/>
    <w:uiPriority w:val="99"/>
    <w:semiHidden/>
    <w:unhideWhenUsed/>
    <w:rsid w:val="00B122BA"/>
  </w:style>
  <w:style w:type="table" w:customStyle="1" w:styleId="TableGrid1">
    <w:name w:val="Table Grid1"/>
    <w:basedOn w:val="prastojilentel"/>
    <w:next w:val="Lentelstinklelis"/>
    <w:uiPriority w:val="59"/>
    <w:rsid w:val="00B122BA"/>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B122BA"/>
  </w:style>
  <w:style w:type="paragraph" w:customStyle="1" w:styleId="ListParagraph1">
    <w:name w:val="List Paragraph1"/>
    <w:qFormat/>
    <w:rsid w:val="00B122BA"/>
    <w:pPr>
      <w:spacing w:after="200"/>
      <w:ind w:left="720"/>
      <w:contextualSpacing/>
    </w:pPr>
    <w:rPr>
      <w:rFonts w:ascii="Calibri" w:eastAsia="Calibri" w:hAnsi="Calibri" w:cs="Times New Roman"/>
    </w:rPr>
  </w:style>
  <w:style w:type="table" w:customStyle="1" w:styleId="TableGrid2">
    <w:name w:val="Table Grid2"/>
    <w:basedOn w:val="prastojilentel"/>
    <w:next w:val="Lentelstinklelis"/>
    <w:uiPriority w:val="59"/>
    <w:rsid w:val="00B122BA"/>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
    <w:name w:val="xl2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
    <w:name w:val="xl2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7">
    <w:name w:val="xl2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
    <w:name w:val="xl2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
    <w:name w:val="xl2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
    <w:name w:val="xl3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31">
    <w:name w:val="xl3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32">
    <w:name w:val="xl32"/>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
    <w:name w:val="xl33"/>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34">
    <w:name w:val="xl3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35">
    <w:name w:val="xl3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36">
    <w:name w:val="xl3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
    <w:name w:val="xl37"/>
    <w:rsid w:val="00B122B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8">
    <w:name w:val="xl38"/>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9">
    <w:name w:val="xl39"/>
    <w:rsid w:val="00B122B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0">
    <w:name w:val="xl40"/>
    <w:rsid w:val="00B122B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1">
    <w:name w:val="xl4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FF00"/>
      <w:sz w:val="24"/>
      <w:szCs w:val="24"/>
    </w:rPr>
  </w:style>
  <w:style w:type="paragraph" w:customStyle="1" w:styleId="xl42">
    <w:name w:val="xl42"/>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FF00"/>
      <w:sz w:val="24"/>
      <w:szCs w:val="24"/>
    </w:rPr>
  </w:style>
  <w:style w:type="paragraph" w:customStyle="1" w:styleId="xl43">
    <w:name w:val="xl43"/>
    <w:rsid w:val="00B122B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
    <w:name w:val="xl44"/>
    <w:rsid w:val="00B122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
    <w:name w:val="xl45"/>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6">
    <w:name w:val="xl46"/>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47">
    <w:name w:val="xl4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C0C0C0"/>
      <w:sz w:val="24"/>
      <w:szCs w:val="24"/>
    </w:rPr>
  </w:style>
  <w:style w:type="paragraph" w:customStyle="1" w:styleId="xl48">
    <w:name w:val="xl4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9">
    <w:name w:val="xl4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50">
    <w:name w:val="xl50"/>
    <w:rsid w:val="00B122B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1">
    <w:name w:val="xl51"/>
    <w:rsid w:val="00B122B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2">
    <w:name w:val="xl52"/>
    <w:rsid w:val="00B122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3">
    <w:name w:val="xl53"/>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4">
    <w:name w:val="xl54"/>
    <w:rsid w:val="00B122B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5">
    <w:name w:val="xl55"/>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6">
    <w:name w:val="xl56"/>
    <w:rsid w:val="00B122BA"/>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7">
    <w:name w:val="xl57"/>
    <w:rsid w:val="00B122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msonormal0">
    <w:name w:val="msonormal"/>
    <w:rsid w:val="00B122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Numatytasispastraiposriftas"/>
    <w:rsid w:val="00B122BA"/>
  </w:style>
  <w:style w:type="character" w:customStyle="1" w:styleId="apple-tab-span">
    <w:name w:val="apple-tab-span"/>
    <w:basedOn w:val="Numatytasispastraiposriftas"/>
    <w:rsid w:val="00B122BA"/>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top w:w="15" w:type="dxa"/>
        <w:left w:w="15" w:type="dxa"/>
        <w:bottom w:w="15" w:type="dxa"/>
        <w:right w:w="15" w:type="dxa"/>
      </w:tblCellMar>
    </w:tblPr>
  </w:style>
  <w:style w:type="table" w:customStyle="1" w:styleId="aa">
    <w:basedOn w:val="TableNormal2"/>
    <w:tblPr>
      <w:tblStyleRowBandSize w:val="1"/>
      <w:tblStyleColBandSize w:val="1"/>
      <w:tblCellMar>
        <w:top w:w="15" w:type="dxa"/>
        <w:left w:w="15" w:type="dxa"/>
        <w:bottom w:w="15" w:type="dxa"/>
        <w:right w:w="15" w:type="dxa"/>
      </w:tblCellMar>
    </w:tblPr>
  </w:style>
  <w:style w:type="table" w:customStyle="1" w:styleId="ab">
    <w:basedOn w:val="TableNormal2"/>
    <w:tblPr>
      <w:tblStyleRowBandSize w:val="1"/>
      <w:tblStyleColBandSize w:val="1"/>
      <w:tblCellMar>
        <w:top w:w="15" w:type="dxa"/>
        <w:left w:w="15" w:type="dxa"/>
        <w:bottom w:w="15" w:type="dxa"/>
        <w:right w:w="15" w:type="dxa"/>
      </w:tblCellMar>
    </w:tblPr>
  </w:style>
  <w:style w:type="table" w:customStyle="1" w:styleId="ac">
    <w:basedOn w:val="TableNormal2"/>
    <w:tblPr>
      <w:tblStyleRowBandSize w:val="1"/>
      <w:tblStyleColBandSize w:val="1"/>
      <w:tblCellMar>
        <w:top w:w="15" w:type="dxa"/>
        <w:left w:w="15" w:type="dxa"/>
        <w:bottom w:w="15" w:type="dxa"/>
        <w:right w:w="15" w:type="dxa"/>
      </w:tblCellMar>
    </w:tblPr>
  </w:style>
  <w:style w:type="table" w:customStyle="1" w:styleId="ad">
    <w:basedOn w:val="TableNormal2"/>
    <w:tblPr>
      <w:tblStyleRowBandSize w:val="1"/>
      <w:tblStyleColBandSize w:val="1"/>
      <w:tblCellMar>
        <w:top w:w="15" w:type="dxa"/>
        <w:left w:w="15" w:type="dxa"/>
        <w:bottom w:w="15" w:type="dxa"/>
        <w:right w:w="15" w:type="dxa"/>
      </w:tblCellMar>
    </w:tblPr>
  </w:style>
  <w:style w:type="table" w:customStyle="1" w:styleId="ae">
    <w:basedOn w:val="TableNormal2"/>
    <w:tblPr>
      <w:tblStyleRowBandSize w:val="1"/>
      <w:tblStyleColBandSize w:val="1"/>
      <w:tblCellMar>
        <w:top w:w="15" w:type="dxa"/>
        <w:left w:w="15" w:type="dxa"/>
        <w:bottom w:w="15" w:type="dxa"/>
        <w:right w:w="15" w:type="dxa"/>
      </w:tblCellMar>
    </w:tblPr>
  </w:style>
  <w:style w:type="table" w:customStyle="1" w:styleId="af">
    <w:basedOn w:val="TableNormal2"/>
    <w:tblPr>
      <w:tblStyleRowBandSize w:val="1"/>
      <w:tblStyleColBandSize w:val="1"/>
      <w:tblCellMar>
        <w:top w:w="15" w:type="dxa"/>
        <w:left w:w="15" w:type="dxa"/>
        <w:bottom w:w="15" w:type="dxa"/>
        <w:right w:w="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2"/>
    <w:tblPr>
      <w:tblStyleRowBandSize w:val="1"/>
      <w:tblStyleColBandSize w:val="1"/>
      <w:tblCellMar>
        <w:left w:w="115" w:type="dxa"/>
        <w:right w:w="115"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top w:w="15" w:type="dxa"/>
        <w:left w:w="15" w:type="dxa"/>
        <w:bottom w:w="15" w:type="dxa"/>
        <w:right w:w="15" w:type="dxa"/>
      </w:tblCellMar>
    </w:tblPr>
  </w:style>
  <w:style w:type="table" w:customStyle="1" w:styleId="af5">
    <w:basedOn w:val="TableNormal2"/>
    <w:tblPr>
      <w:tblStyleRowBandSize w:val="1"/>
      <w:tblStyleColBandSize w:val="1"/>
      <w:tblCellMar>
        <w:top w:w="15" w:type="dxa"/>
        <w:left w:w="15" w:type="dxa"/>
        <w:bottom w:w="15" w:type="dxa"/>
        <w:right w:w="15" w:type="dxa"/>
      </w:tblCellMar>
    </w:tblPr>
  </w:style>
  <w:style w:type="table" w:customStyle="1" w:styleId="af6">
    <w:basedOn w:val="TableNormal2"/>
    <w:tblPr>
      <w:tblStyleRowBandSize w:val="1"/>
      <w:tblStyleColBandSize w:val="1"/>
      <w:tblCellMar>
        <w:left w:w="10" w:type="dxa"/>
        <w:right w:w="10" w:type="dxa"/>
      </w:tblCellMar>
    </w:tblPr>
  </w:style>
  <w:style w:type="table" w:customStyle="1" w:styleId="af7">
    <w:basedOn w:val="TableNormal2"/>
    <w:tblPr>
      <w:tblStyleRowBandSize w:val="1"/>
      <w:tblStyleColBandSize w:val="1"/>
      <w:tblCellMar>
        <w:top w:w="15" w:type="dxa"/>
        <w:left w:w="15" w:type="dxa"/>
        <w:bottom w:w="15" w:type="dxa"/>
        <w:right w:w="15" w:type="dxa"/>
      </w:tblCellMar>
    </w:tblPr>
  </w:style>
  <w:style w:type="table" w:customStyle="1" w:styleId="af8">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9">
    <w:basedOn w:val="TableNormal2"/>
    <w:tblPr>
      <w:tblStyleRowBandSize w:val="1"/>
      <w:tblStyleColBandSize w:val="1"/>
    </w:tblPr>
  </w:style>
  <w:style w:type="table" w:customStyle="1" w:styleId="afa">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b">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top w:w="15" w:type="dxa"/>
        <w:left w:w="15" w:type="dxa"/>
        <w:bottom w:w="15" w:type="dxa"/>
        <w:right w:w="15" w:type="dxa"/>
      </w:tblCellMar>
    </w:tblPr>
  </w:style>
  <w:style w:type="table" w:customStyle="1" w:styleId="afd">
    <w:basedOn w:val="TableNormal2"/>
    <w:tblPr>
      <w:tblStyleRowBandSize w:val="1"/>
      <w:tblStyleColBandSize w:val="1"/>
      <w:tblCellMar>
        <w:top w:w="15" w:type="dxa"/>
        <w:left w:w="15" w:type="dxa"/>
        <w:bottom w:w="15" w:type="dxa"/>
        <w:right w:w="15" w:type="dxa"/>
      </w:tblCellMar>
    </w:tblPr>
  </w:style>
  <w:style w:type="table" w:customStyle="1" w:styleId="afe">
    <w:basedOn w:val="TableNormal2"/>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top w:w="15" w:type="dxa"/>
        <w:left w:w="15" w:type="dxa"/>
        <w:bottom w:w="15" w:type="dxa"/>
        <w:right w:w="15" w:type="dxa"/>
      </w:tblCellMar>
    </w:tblPr>
  </w:style>
  <w:style w:type="table" w:customStyle="1" w:styleId="aff3">
    <w:basedOn w:val="TableNormal2"/>
    <w:tblPr>
      <w:tblStyleRowBandSize w:val="1"/>
      <w:tblStyleColBandSize w:val="1"/>
      <w:tblCellMar>
        <w:top w:w="15" w:type="dxa"/>
        <w:left w:w="15" w:type="dxa"/>
        <w:bottom w:w="15" w:type="dxa"/>
        <w:right w:w="15" w:type="dxa"/>
      </w:tblCellMar>
    </w:tblPr>
  </w:style>
  <w:style w:type="table" w:customStyle="1" w:styleId="aff4">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f5">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f6">
    <w:basedOn w:val="TableNormal2"/>
    <w:tblPr>
      <w:tblStyleRowBandSize w:val="1"/>
      <w:tblStyleColBandSize w:val="1"/>
      <w:tblCellMar>
        <w:top w:w="15" w:type="dxa"/>
        <w:left w:w="15" w:type="dxa"/>
        <w:bottom w:w="15" w:type="dxa"/>
        <w:right w:w="15" w:type="dxa"/>
      </w:tblCellMar>
    </w:tblPr>
  </w:style>
  <w:style w:type="table" w:customStyle="1" w:styleId="aff7">
    <w:basedOn w:val="TableNormal2"/>
    <w:tblPr>
      <w:tblStyleRowBandSize w:val="1"/>
      <w:tblStyleColBandSize w:val="1"/>
      <w:tblCellMar>
        <w:top w:w="15" w:type="dxa"/>
        <w:left w:w="15" w:type="dxa"/>
        <w:bottom w:w="15" w:type="dxa"/>
        <w:right w:w="15" w:type="dxa"/>
      </w:tblCellMar>
    </w:tblPr>
  </w:style>
  <w:style w:type="table" w:customStyle="1" w:styleId="aff8">
    <w:basedOn w:val="TableNormal2"/>
    <w:tblPr>
      <w:tblStyleRowBandSize w:val="1"/>
      <w:tblStyleColBandSize w:val="1"/>
      <w:tblCellMar>
        <w:top w:w="15" w:type="dxa"/>
        <w:left w:w="15" w:type="dxa"/>
        <w:bottom w:w="15" w:type="dxa"/>
        <w:right w:w="15" w:type="dxa"/>
      </w:tblCellMar>
    </w:tblPr>
  </w:style>
  <w:style w:type="table" w:customStyle="1" w:styleId="aff9">
    <w:basedOn w:val="TableNormal2"/>
    <w:tblPr>
      <w:tblStyleRowBandSize w:val="1"/>
      <w:tblStyleColBandSize w:val="1"/>
      <w:tblCellMar>
        <w:top w:w="15" w:type="dxa"/>
        <w:left w:w="15" w:type="dxa"/>
        <w:bottom w:w="15" w:type="dxa"/>
        <w:right w:w="15" w:type="dxa"/>
      </w:tblCellMar>
    </w:tblPr>
  </w:style>
  <w:style w:type="table" w:customStyle="1" w:styleId="affa">
    <w:basedOn w:val="TableNormal2"/>
    <w:tblPr>
      <w:tblStyleRowBandSize w:val="1"/>
      <w:tblStyleColBandSize w:val="1"/>
      <w:tblCellMar>
        <w:top w:w="15" w:type="dxa"/>
        <w:left w:w="15" w:type="dxa"/>
        <w:bottom w:w="15" w:type="dxa"/>
        <w:right w:w="15" w:type="dxa"/>
      </w:tblCellMar>
    </w:tblPr>
  </w:style>
  <w:style w:type="table" w:customStyle="1" w:styleId="affb">
    <w:basedOn w:val="TableNormal2"/>
    <w:tblPr>
      <w:tblStyleRowBandSize w:val="1"/>
      <w:tblStyleColBandSize w:val="1"/>
      <w:tblCellMar>
        <w:top w:w="15" w:type="dxa"/>
        <w:left w:w="15" w:type="dxa"/>
        <w:bottom w:w="15" w:type="dxa"/>
        <w:right w:w="15" w:type="dxa"/>
      </w:tblCellMar>
    </w:tblPr>
  </w:style>
  <w:style w:type="table" w:customStyle="1" w:styleId="affc">
    <w:basedOn w:val="TableNormal2"/>
    <w:tblPr>
      <w:tblStyleRowBandSize w:val="1"/>
      <w:tblStyleColBandSize w:val="1"/>
      <w:tblCellMar>
        <w:top w:w="15" w:type="dxa"/>
        <w:left w:w="15" w:type="dxa"/>
        <w:bottom w:w="15" w:type="dxa"/>
        <w:right w:w="15" w:type="dxa"/>
      </w:tblCellMar>
    </w:tblPr>
  </w:style>
  <w:style w:type="table" w:customStyle="1" w:styleId="affd">
    <w:basedOn w:val="TableNormal2"/>
    <w:tblPr>
      <w:tblStyleRowBandSize w:val="1"/>
      <w:tblStyleColBandSize w:val="1"/>
      <w:tblCellMar>
        <w:top w:w="15" w:type="dxa"/>
        <w:left w:w="15" w:type="dxa"/>
        <w:bottom w:w="15" w:type="dxa"/>
        <w:right w:w="15" w:type="dxa"/>
      </w:tblCellMar>
    </w:tblPr>
  </w:style>
  <w:style w:type="table" w:customStyle="1" w:styleId="affe">
    <w:basedOn w:val="TableNormal2"/>
    <w:tblPr>
      <w:tblStyleRowBandSize w:val="1"/>
      <w:tblStyleColBandSize w:val="1"/>
      <w:tblCellMar>
        <w:top w:w="15" w:type="dxa"/>
        <w:left w:w="15" w:type="dxa"/>
        <w:bottom w:w="15" w:type="dxa"/>
        <w:right w:w="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table" w:customStyle="1" w:styleId="afff3">
    <w:basedOn w:val="TableNormal1"/>
    <w:tblPr>
      <w:tblStyleRowBandSize w:val="1"/>
      <w:tblStyleColBandSize w:val="1"/>
      <w:tblCellMar>
        <w:left w:w="115" w:type="dxa"/>
        <w:right w:w="115" w:type="dxa"/>
      </w:tblCellMar>
    </w:tblPr>
  </w:style>
  <w:style w:type="table" w:customStyle="1" w:styleId="afff4">
    <w:basedOn w:val="TableNormal1"/>
    <w:tblPr>
      <w:tblStyleRowBandSize w:val="1"/>
      <w:tblStyleColBandSize w:val="1"/>
      <w:tblCellMar>
        <w:left w:w="115" w:type="dxa"/>
        <w:right w:w="115" w:type="dxa"/>
      </w:tblCellMar>
    </w:tblPr>
  </w:style>
  <w:style w:type="table" w:customStyle="1" w:styleId="afff5">
    <w:basedOn w:val="TableNormal1"/>
    <w:tblPr>
      <w:tblStyleRowBandSize w:val="1"/>
      <w:tblStyleColBandSize w:val="1"/>
      <w:tblCellMar>
        <w:left w:w="115" w:type="dxa"/>
        <w:right w:w="115" w:type="dxa"/>
      </w:tblCellMar>
    </w:tblPr>
  </w:style>
  <w:style w:type="table" w:customStyle="1" w:styleId="afff6">
    <w:basedOn w:val="TableNormal1"/>
    <w:tblPr>
      <w:tblStyleRowBandSize w:val="1"/>
      <w:tblStyleColBandSize w:val="1"/>
      <w:tblCellMar>
        <w:left w:w="115" w:type="dxa"/>
        <w:right w:w="115" w:type="dxa"/>
      </w:tblCellMar>
    </w:tblPr>
  </w:style>
  <w:style w:type="table" w:customStyle="1" w:styleId="afff7">
    <w:basedOn w:val="TableNormal1"/>
    <w:tblPr>
      <w:tblStyleRowBandSize w:val="1"/>
      <w:tblStyleColBandSize w:val="1"/>
      <w:tblCellMar>
        <w:left w:w="115" w:type="dxa"/>
        <w:right w:w="115" w:type="dxa"/>
      </w:tblCellMar>
    </w:tblPr>
  </w:style>
  <w:style w:type="table" w:customStyle="1" w:styleId="afff8">
    <w:basedOn w:val="TableNormal1"/>
    <w:tblPr>
      <w:tblStyleRowBandSize w:val="1"/>
      <w:tblStyleColBandSize w:val="1"/>
      <w:tblCellMar>
        <w:left w:w="115" w:type="dxa"/>
        <w:right w:w="115" w:type="dxa"/>
      </w:tblCellMar>
    </w:tblPr>
  </w:style>
  <w:style w:type="table" w:customStyle="1" w:styleId="afff9">
    <w:basedOn w:val="TableNormal1"/>
    <w:tblPr>
      <w:tblStyleRowBandSize w:val="1"/>
      <w:tblStyleColBandSize w:val="1"/>
      <w:tblCellMar>
        <w:top w:w="15" w:type="dxa"/>
        <w:left w:w="15" w:type="dxa"/>
        <w:bottom w:w="15" w:type="dxa"/>
        <w:right w:w="15" w:type="dxa"/>
      </w:tblCellMar>
    </w:tblPr>
  </w:style>
  <w:style w:type="table" w:customStyle="1" w:styleId="afffa">
    <w:basedOn w:val="TableNormal1"/>
    <w:tblPr>
      <w:tblStyleRowBandSize w:val="1"/>
      <w:tblStyleColBandSize w:val="1"/>
      <w:tblCellMar>
        <w:top w:w="100" w:type="dxa"/>
        <w:left w:w="100" w:type="dxa"/>
        <w:bottom w:w="100" w:type="dxa"/>
        <w:right w:w="100" w:type="dxa"/>
      </w:tblCellMar>
    </w:tblPr>
  </w:style>
  <w:style w:type="table" w:customStyle="1" w:styleId="afffb">
    <w:basedOn w:val="TableNormal1"/>
    <w:tblPr>
      <w:tblStyleRowBandSize w:val="1"/>
      <w:tblStyleColBandSize w:val="1"/>
      <w:tblCellMar>
        <w:top w:w="15" w:type="dxa"/>
        <w:left w:w="15" w:type="dxa"/>
        <w:bottom w:w="15" w:type="dxa"/>
        <w:right w:w="15" w:type="dxa"/>
      </w:tblCellMar>
    </w:tblPr>
  </w:style>
  <w:style w:type="table" w:customStyle="1" w:styleId="afffc">
    <w:basedOn w:val="TableNormal1"/>
    <w:tblPr>
      <w:tblStyleRowBandSize w:val="1"/>
      <w:tblStyleColBandSize w:val="1"/>
      <w:tblCellMar>
        <w:top w:w="15" w:type="dxa"/>
        <w:left w:w="15" w:type="dxa"/>
        <w:bottom w:w="15" w:type="dxa"/>
        <w:right w:w="15" w:type="dxa"/>
      </w:tblCellMar>
    </w:tblPr>
  </w:style>
  <w:style w:type="table" w:customStyle="1" w:styleId="afffd">
    <w:basedOn w:val="TableNormal1"/>
    <w:tblPr>
      <w:tblStyleRowBandSize w:val="1"/>
      <w:tblStyleColBandSize w:val="1"/>
      <w:tblCellMar>
        <w:top w:w="100" w:type="dxa"/>
        <w:left w:w="100" w:type="dxa"/>
        <w:bottom w:w="100" w:type="dxa"/>
        <w:right w:w="100" w:type="dxa"/>
      </w:tblCellMar>
    </w:tblPr>
  </w:style>
  <w:style w:type="table" w:customStyle="1" w:styleId="afffe">
    <w:basedOn w:val="TableNormal1"/>
    <w:tblPr>
      <w:tblStyleRowBandSize w:val="1"/>
      <w:tblStyleColBandSize w:val="1"/>
      <w:tblCellMar>
        <w:top w:w="100" w:type="dxa"/>
        <w:left w:w="100" w:type="dxa"/>
        <w:bottom w:w="100" w:type="dxa"/>
        <w:right w:w="100" w:type="dxa"/>
      </w:tblCellMar>
    </w:tblPr>
  </w:style>
  <w:style w:type="table" w:customStyle="1" w:styleId="affff">
    <w:basedOn w:val="TableNormal1"/>
    <w:tblPr>
      <w:tblStyleRowBandSize w:val="1"/>
      <w:tblStyleColBandSize w:val="1"/>
      <w:tblCellMar>
        <w:top w:w="100" w:type="dxa"/>
        <w:left w:w="100" w:type="dxa"/>
        <w:bottom w:w="100" w:type="dxa"/>
        <w:right w:w="100" w:type="dxa"/>
      </w:tblCellMar>
    </w:tblPr>
  </w:style>
  <w:style w:type="table" w:customStyle="1" w:styleId="affff0">
    <w:basedOn w:val="TableNormal1"/>
    <w:tblPr>
      <w:tblStyleRowBandSize w:val="1"/>
      <w:tblStyleColBandSize w:val="1"/>
      <w:tblCellMar>
        <w:top w:w="100" w:type="dxa"/>
        <w:left w:w="100" w:type="dxa"/>
        <w:bottom w:w="100" w:type="dxa"/>
        <w:right w:w="100" w:type="dxa"/>
      </w:tblCellMar>
    </w:tblPr>
  </w:style>
  <w:style w:type="table" w:customStyle="1" w:styleId="affff1">
    <w:basedOn w:val="TableNormal1"/>
    <w:tblPr>
      <w:tblStyleRowBandSize w:val="1"/>
      <w:tblStyleColBandSize w:val="1"/>
      <w:tblCellMar>
        <w:top w:w="100" w:type="dxa"/>
        <w:left w:w="100" w:type="dxa"/>
        <w:bottom w:w="100" w:type="dxa"/>
        <w:right w:w="100" w:type="dxa"/>
      </w:tblCellMar>
    </w:tblPr>
  </w:style>
  <w:style w:type="table" w:customStyle="1" w:styleId="affff2">
    <w:basedOn w:val="TableNormal1"/>
    <w:tblPr>
      <w:tblStyleRowBandSize w:val="1"/>
      <w:tblStyleColBandSize w:val="1"/>
      <w:tblCellMar>
        <w:top w:w="100" w:type="dxa"/>
        <w:left w:w="100" w:type="dxa"/>
        <w:bottom w:w="100" w:type="dxa"/>
        <w:right w:w="100" w:type="dxa"/>
      </w:tblCellMar>
    </w:tblPr>
  </w:style>
  <w:style w:type="table" w:customStyle="1" w:styleId="affff3">
    <w:basedOn w:val="TableNormal1"/>
    <w:tblPr>
      <w:tblStyleRowBandSize w:val="1"/>
      <w:tblStyleColBandSize w:val="1"/>
      <w:tblCellMar>
        <w:top w:w="100" w:type="dxa"/>
        <w:left w:w="100" w:type="dxa"/>
        <w:bottom w:w="100" w:type="dxa"/>
        <w:right w:w="100" w:type="dxa"/>
      </w:tblCellMar>
    </w:tblPr>
  </w:style>
  <w:style w:type="table" w:customStyle="1" w:styleId="affff4">
    <w:basedOn w:val="TableNormal1"/>
    <w:tblPr>
      <w:tblStyleRowBandSize w:val="1"/>
      <w:tblStyleColBandSize w:val="1"/>
      <w:tblCellMar>
        <w:top w:w="100" w:type="dxa"/>
        <w:left w:w="100" w:type="dxa"/>
        <w:bottom w:w="100" w:type="dxa"/>
        <w:right w:w="100" w:type="dxa"/>
      </w:tblCellMar>
    </w:tblPr>
  </w:style>
  <w:style w:type="table" w:customStyle="1" w:styleId="affff5">
    <w:basedOn w:val="TableNormal1"/>
    <w:tblPr>
      <w:tblStyleRowBandSize w:val="1"/>
      <w:tblStyleColBandSize w:val="1"/>
      <w:tblCellMar>
        <w:left w:w="115" w:type="dxa"/>
        <w:right w:w="115" w:type="dxa"/>
      </w:tblCellMar>
    </w:tblPr>
  </w:style>
  <w:style w:type="table" w:customStyle="1" w:styleId="affff6">
    <w:basedOn w:val="TableNormal1"/>
    <w:tblPr>
      <w:tblStyleRowBandSize w:val="1"/>
      <w:tblStyleColBandSize w:val="1"/>
      <w:tblCellMar>
        <w:left w:w="115" w:type="dxa"/>
        <w:right w:w="115" w:type="dxa"/>
      </w:tblCellMar>
    </w:tblPr>
  </w:style>
  <w:style w:type="table" w:customStyle="1" w:styleId="affff7">
    <w:basedOn w:val="TableNormal1"/>
    <w:tblPr>
      <w:tblStyleRowBandSize w:val="1"/>
      <w:tblStyleColBandSize w:val="1"/>
      <w:tblCellMar>
        <w:left w:w="115" w:type="dxa"/>
        <w:right w:w="115" w:type="dxa"/>
      </w:tblCellMar>
    </w:tblPr>
  </w:style>
  <w:style w:type="table" w:customStyle="1" w:styleId="affff8">
    <w:basedOn w:val="TableNormal1"/>
    <w:tblPr>
      <w:tblStyleRowBandSize w:val="1"/>
      <w:tblStyleColBandSize w:val="1"/>
      <w:tblCellMar>
        <w:left w:w="115" w:type="dxa"/>
        <w:right w:w="115" w:type="dxa"/>
      </w:tblCellMar>
    </w:tblPr>
  </w:style>
  <w:style w:type="table" w:customStyle="1" w:styleId="affff9">
    <w:basedOn w:val="TableNormal1"/>
    <w:tblPr>
      <w:tblStyleRowBandSize w:val="1"/>
      <w:tblStyleColBandSize w:val="1"/>
      <w:tblCellMar>
        <w:top w:w="15" w:type="dxa"/>
        <w:left w:w="15" w:type="dxa"/>
        <w:bottom w:w="15" w:type="dxa"/>
        <w:right w:w="15" w:type="dxa"/>
      </w:tblCellMar>
    </w:tblPr>
  </w:style>
  <w:style w:type="table" w:customStyle="1" w:styleId="affffa">
    <w:basedOn w:val="TableNormal1"/>
    <w:tblPr>
      <w:tblStyleRowBandSize w:val="1"/>
      <w:tblStyleColBandSize w:val="1"/>
      <w:tblCellMar>
        <w:top w:w="15" w:type="dxa"/>
        <w:left w:w="15" w:type="dxa"/>
        <w:bottom w:w="15" w:type="dxa"/>
        <w:right w:w="15" w:type="dxa"/>
      </w:tblCellMar>
    </w:tblPr>
  </w:style>
  <w:style w:type="table" w:customStyle="1" w:styleId="affffb">
    <w:basedOn w:val="TableNormal1"/>
    <w:tblPr>
      <w:tblStyleRowBandSize w:val="1"/>
      <w:tblStyleColBandSize w:val="1"/>
      <w:tblCellMar>
        <w:left w:w="115" w:type="dxa"/>
        <w:right w:w="115" w:type="dxa"/>
      </w:tblCellMar>
    </w:tblPr>
  </w:style>
  <w:style w:type="table" w:customStyle="1" w:styleId="affffc">
    <w:basedOn w:val="TableNormal1"/>
    <w:tblPr>
      <w:tblStyleRowBandSize w:val="1"/>
      <w:tblStyleColBandSize w:val="1"/>
      <w:tblCellMar>
        <w:left w:w="115" w:type="dxa"/>
        <w:right w:w="115" w:type="dxa"/>
      </w:tblCellMar>
    </w:tblPr>
  </w:style>
  <w:style w:type="table" w:customStyle="1" w:styleId="affffd">
    <w:basedOn w:val="TableNormal1"/>
    <w:tblPr>
      <w:tblStyleRowBandSize w:val="1"/>
      <w:tblStyleColBandSize w:val="1"/>
      <w:tblCellMar>
        <w:left w:w="115" w:type="dxa"/>
        <w:right w:w="115" w:type="dxa"/>
      </w:tblCellMar>
    </w:tblPr>
  </w:style>
  <w:style w:type="table" w:customStyle="1" w:styleId="affffe">
    <w:basedOn w:val="TableNormal1"/>
    <w:tblPr>
      <w:tblStyleRowBandSize w:val="1"/>
      <w:tblStyleColBandSize w:val="1"/>
      <w:tblCellMar>
        <w:left w:w="115" w:type="dxa"/>
        <w:right w:w="115" w:type="dxa"/>
      </w:tblCellMar>
    </w:tblPr>
  </w:style>
  <w:style w:type="table" w:customStyle="1" w:styleId="afffff">
    <w:basedOn w:val="TableNormal1"/>
    <w:tblPr>
      <w:tblStyleRowBandSize w:val="1"/>
      <w:tblStyleColBandSize w:val="1"/>
      <w:tblCellMar>
        <w:left w:w="115" w:type="dxa"/>
        <w:right w:w="115" w:type="dxa"/>
      </w:tblCellMar>
    </w:tblPr>
  </w:style>
  <w:style w:type="table" w:customStyle="1" w:styleId="afffff0">
    <w:basedOn w:val="TableNormal1"/>
    <w:tblPr>
      <w:tblStyleRowBandSize w:val="1"/>
      <w:tblStyleColBandSize w:val="1"/>
      <w:tblCellMar>
        <w:left w:w="115" w:type="dxa"/>
        <w:right w:w="115" w:type="dxa"/>
      </w:tblCellMar>
    </w:tblPr>
  </w:style>
  <w:style w:type="table" w:customStyle="1" w:styleId="afffff1">
    <w:basedOn w:val="TableNormal1"/>
    <w:tblPr>
      <w:tblStyleRowBandSize w:val="1"/>
      <w:tblStyleColBandSize w:val="1"/>
      <w:tblCellMar>
        <w:top w:w="100" w:type="dxa"/>
        <w:left w:w="100" w:type="dxa"/>
        <w:bottom w:w="100" w:type="dxa"/>
        <w:right w:w="100" w:type="dxa"/>
      </w:tblCellMar>
    </w:tblPr>
  </w:style>
  <w:style w:type="table" w:customStyle="1" w:styleId="afffff2">
    <w:basedOn w:val="TableNormal1"/>
    <w:tblPr>
      <w:tblStyleRowBandSize w:val="1"/>
      <w:tblStyleColBandSize w:val="1"/>
      <w:tblCellMar>
        <w:top w:w="15" w:type="dxa"/>
        <w:left w:w="15" w:type="dxa"/>
        <w:bottom w:w="15" w:type="dxa"/>
        <w:right w:w="15" w:type="dxa"/>
      </w:tblCellMar>
    </w:tblPr>
  </w:style>
  <w:style w:type="table" w:customStyle="1" w:styleId="afffff3">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4">
    <w:basedOn w:val="TableNormal1"/>
    <w:tblPr>
      <w:tblStyleRowBandSize w:val="1"/>
      <w:tblStyleColBandSize w:val="1"/>
    </w:tblPr>
  </w:style>
  <w:style w:type="table" w:customStyle="1" w:styleId="afffff5">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6">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7">
    <w:basedOn w:val="TableNormal1"/>
    <w:tblPr>
      <w:tblStyleRowBandSize w:val="1"/>
      <w:tblStyleColBandSize w:val="1"/>
      <w:tblCellMar>
        <w:top w:w="100" w:type="dxa"/>
        <w:left w:w="100" w:type="dxa"/>
        <w:bottom w:w="100" w:type="dxa"/>
        <w:right w:w="100" w:type="dxa"/>
      </w:tblCellMar>
    </w:tblPr>
  </w:style>
  <w:style w:type="table" w:customStyle="1" w:styleId="afffff8">
    <w:basedOn w:val="TableNormal1"/>
    <w:tblPr>
      <w:tblStyleRowBandSize w:val="1"/>
      <w:tblStyleColBandSize w:val="1"/>
      <w:tblCellMar>
        <w:top w:w="100" w:type="dxa"/>
        <w:left w:w="100" w:type="dxa"/>
        <w:bottom w:w="100" w:type="dxa"/>
        <w:right w:w="100" w:type="dxa"/>
      </w:tblCellMar>
    </w:tblPr>
  </w:style>
  <w:style w:type="table" w:customStyle="1" w:styleId="afffff9">
    <w:basedOn w:val="TableNormal1"/>
    <w:tblPr>
      <w:tblStyleRowBandSize w:val="1"/>
      <w:tblStyleColBandSize w:val="1"/>
      <w:tblCellMar>
        <w:top w:w="15" w:type="dxa"/>
        <w:left w:w="15" w:type="dxa"/>
        <w:bottom w:w="15" w:type="dxa"/>
        <w:right w:w="15" w:type="dxa"/>
      </w:tblCellMar>
    </w:tblPr>
  </w:style>
  <w:style w:type="table" w:customStyle="1" w:styleId="afffffa">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b">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c">
    <w:basedOn w:val="TableNormal1"/>
    <w:tblPr>
      <w:tblStyleRowBandSize w:val="1"/>
      <w:tblStyleColBandSize w:val="1"/>
      <w:tblCellMar>
        <w:top w:w="15" w:type="dxa"/>
        <w:left w:w="15" w:type="dxa"/>
        <w:bottom w:w="15" w:type="dxa"/>
        <w:right w:w="15" w:type="dxa"/>
      </w:tblCellMar>
    </w:tblPr>
  </w:style>
  <w:style w:type="table" w:customStyle="1" w:styleId="afffffd">
    <w:basedOn w:val="TableNormal1"/>
    <w:tblPr>
      <w:tblStyleRowBandSize w:val="1"/>
      <w:tblStyleColBandSize w:val="1"/>
      <w:tblCellMar>
        <w:top w:w="15" w:type="dxa"/>
        <w:left w:w="15" w:type="dxa"/>
        <w:bottom w:w="15" w:type="dxa"/>
        <w:right w:w="15" w:type="dxa"/>
      </w:tblCellMar>
    </w:tblPr>
  </w:style>
  <w:style w:type="table" w:customStyle="1" w:styleId="afffffe">
    <w:basedOn w:val="TableNormal1"/>
    <w:tblPr>
      <w:tblStyleRowBandSize w:val="1"/>
      <w:tblStyleColBandSize w:val="1"/>
      <w:tblCellMar>
        <w:top w:w="15" w:type="dxa"/>
        <w:left w:w="15" w:type="dxa"/>
        <w:bottom w:w="15" w:type="dxa"/>
        <w:right w:w="15" w:type="dxa"/>
      </w:tblCellMar>
    </w:tblPr>
  </w:style>
  <w:style w:type="table" w:customStyle="1" w:styleId="affffff">
    <w:basedOn w:val="TableNormal1"/>
    <w:tblPr>
      <w:tblStyleRowBandSize w:val="1"/>
      <w:tblStyleColBandSize w:val="1"/>
      <w:tblCellMar>
        <w:top w:w="15" w:type="dxa"/>
        <w:left w:w="15" w:type="dxa"/>
        <w:bottom w:w="15" w:type="dxa"/>
        <w:right w:w="15" w:type="dxa"/>
      </w:tblCellMar>
    </w:tblPr>
  </w:style>
  <w:style w:type="table" w:customStyle="1" w:styleId="affffff0">
    <w:basedOn w:val="TableNormal1"/>
    <w:tblPr>
      <w:tblStyleRowBandSize w:val="1"/>
      <w:tblStyleColBandSize w:val="1"/>
      <w:tblCellMar>
        <w:top w:w="15" w:type="dxa"/>
        <w:left w:w="15" w:type="dxa"/>
        <w:bottom w:w="15" w:type="dxa"/>
        <w:right w:w="15" w:type="dxa"/>
      </w:tblCellMar>
    </w:tblPr>
  </w:style>
  <w:style w:type="table" w:customStyle="1" w:styleId="affffff1">
    <w:basedOn w:val="TableNormal1"/>
    <w:tblPr>
      <w:tblStyleRowBandSize w:val="1"/>
      <w:tblStyleColBandSize w:val="1"/>
      <w:tblCellMar>
        <w:top w:w="15" w:type="dxa"/>
        <w:left w:w="15" w:type="dxa"/>
        <w:bottom w:w="15" w:type="dxa"/>
        <w:right w:w="15" w:type="dxa"/>
      </w:tblCellMar>
    </w:tblPr>
  </w:style>
  <w:style w:type="table" w:customStyle="1" w:styleId="affffff2">
    <w:basedOn w:val="TableNormal1"/>
    <w:tblPr>
      <w:tblStyleRowBandSize w:val="1"/>
      <w:tblStyleColBandSize w:val="1"/>
      <w:tblCellMar>
        <w:top w:w="15" w:type="dxa"/>
        <w:left w:w="15" w:type="dxa"/>
        <w:bottom w:w="15" w:type="dxa"/>
        <w:right w:w="15" w:type="dxa"/>
      </w:tblCellMar>
    </w:tblPr>
  </w:style>
  <w:style w:type="table" w:customStyle="1" w:styleId="affffff3">
    <w:basedOn w:val="TableNormal1"/>
    <w:tblPr>
      <w:tblStyleRowBandSize w:val="1"/>
      <w:tblStyleColBandSize w:val="1"/>
      <w:tblCellMar>
        <w:top w:w="15" w:type="dxa"/>
        <w:left w:w="15" w:type="dxa"/>
        <w:bottom w:w="15" w:type="dxa"/>
        <w:right w:w="15" w:type="dxa"/>
      </w:tblCellMar>
    </w:tblPr>
  </w:style>
  <w:style w:type="table" w:customStyle="1" w:styleId="affffff4">
    <w:basedOn w:val="TableNormal1"/>
    <w:tblPr>
      <w:tblStyleRowBandSize w:val="1"/>
      <w:tblStyleColBandSize w:val="1"/>
      <w:tblCellMar>
        <w:top w:w="15" w:type="dxa"/>
        <w:left w:w="15" w:type="dxa"/>
        <w:bottom w:w="15" w:type="dxa"/>
        <w:right w:w="15" w:type="dxa"/>
      </w:tblCellMar>
    </w:tblPr>
  </w:style>
  <w:style w:type="paragraph" w:styleId="Paantrat">
    <w:name w:val="Subtitle"/>
    <w:basedOn w:val="prastasis"/>
    <w:next w:val="prastasis"/>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top w:w="15" w:type="dxa"/>
        <w:left w:w="15" w:type="dxa"/>
        <w:bottom w:w="15" w:type="dxa"/>
        <w:right w:w="15" w:type="dxa"/>
      </w:tblCellMar>
    </w:tblPr>
  </w:style>
  <w:style w:type="table" w:customStyle="1" w:styleId="afffffff0">
    <w:basedOn w:val="TableNormal1"/>
    <w:tblPr>
      <w:tblStyleRowBandSize w:val="1"/>
      <w:tblStyleColBandSize w:val="1"/>
      <w:tblCellMar>
        <w:top w:w="100" w:type="dxa"/>
        <w:left w:w="100" w:type="dxa"/>
        <w:bottom w:w="100" w:type="dxa"/>
        <w:right w:w="100" w:type="dxa"/>
      </w:tblCellMar>
    </w:tblPr>
  </w:style>
  <w:style w:type="table" w:customStyle="1" w:styleId="afffffff1">
    <w:basedOn w:val="TableNormal1"/>
    <w:tblPr>
      <w:tblStyleRowBandSize w:val="1"/>
      <w:tblStyleColBandSize w:val="1"/>
      <w:tblCellMar>
        <w:top w:w="15" w:type="dxa"/>
        <w:left w:w="15" w:type="dxa"/>
        <w:bottom w:w="15" w:type="dxa"/>
        <w:right w:w="15" w:type="dxa"/>
      </w:tblCellMar>
    </w:tblPr>
  </w:style>
  <w:style w:type="table" w:customStyle="1" w:styleId="afffffff2">
    <w:basedOn w:val="TableNormal1"/>
    <w:tblPr>
      <w:tblStyleRowBandSize w:val="1"/>
      <w:tblStyleColBandSize w:val="1"/>
      <w:tblCellMar>
        <w:top w:w="15" w:type="dxa"/>
        <w:left w:w="15" w:type="dxa"/>
        <w:bottom w:w="15" w:type="dxa"/>
        <w:right w:w="15" w:type="dxa"/>
      </w:tblCellMar>
    </w:tblPr>
  </w:style>
  <w:style w:type="table" w:customStyle="1" w:styleId="afffffff3">
    <w:basedOn w:val="TableNormal1"/>
    <w:tblPr>
      <w:tblStyleRowBandSize w:val="1"/>
      <w:tblStyleColBandSize w:val="1"/>
      <w:tblCellMar>
        <w:top w:w="100" w:type="dxa"/>
        <w:left w:w="100" w:type="dxa"/>
        <w:bottom w:w="100" w:type="dxa"/>
        <w:right w:w="100" w:type="dxa"/>
      </w:tblCellMar>
    </w:tblPr>
  </w:style>
  <w:style w:type="table" w:customStyle="1" w:styleId="afffffff4">
    <w:basedOn w:val="TableNormal1"/>
    <w:tblPr>
      <w:tblStyleRowBandSize w:val="1"/>
      <w:tblStyleColBandSize w:val="1"/>
      <w:tblCellMar>
        <w:top w:w="100" w:type="dxa"/>
        <w:left w:w="100" w:type="dxa"/>
        <w:bottom w:w="100" w:type="dxa"/>
        <w:right w:w="100" w:type="dxa"/>
      </w:tblCellMar>
    </w:tblPr>
  </w:style>
  <w:style w:type="table" w:customStyle="1" w:styleId="afffffff5">
    <w:basedOn w:val="TableNormal1"/>
    <w:tblPr>
      <w:tblStyleRowBandSize w:val="1"/>
      <w:tblStyleColBandSize w:val="1"/>
      <w:tblCellMar>
        <w:top w:w="100" w:type="dxa"/>
        <w:left w:w="100" w:type="dxa"/>
        <w:bottom w:w="100" w:type="dxa"/>
        <w:right w:w="100" w:type="dxa"/>
      </w:tblCellMar>
    </w:tblPr>
  </w:style>
  <w:style w:type="table" w:customStyle="1" w:styleId="afffffff6">
    <w:basedOn w:val="TableNormal1"/>
    <w:tblPr>
      <w:tblStyleRowBandSize w:val="1"/>
      <w:tblStyleColBandSize w:val="1"/>
      <w:tblCellMar>
        <w:top w:w="100" w:type="dxa"/>
        <w:left w:w="100" w:type="dxa"/>
        <w:bottom w:w="100" w:type="dxa"/>
        <w:right w:w="100"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left w:w="115" w:type="dxa"/>
        <w:right w:w="115" w:type="dxa"/>
      </w:tblCellMar>
    </w:tblPr>
  </w:style>
  <w:style w:type="table" w:customStyle="1" w:styleId="afffffffc">
    <w:basedOn w:val="TableNormal1"/>
    <w:tblPr>
      <w:tblStyleRowBandSize w:val="1"/>
      <w:tblStyleColBandSize w:val="1"/>
      <w:tblCellMar>
        <w:left w:w="115" w:type="dxa"/>
        <w:right w:w="115" w:type="dxa"/>
      </w:tblCellMar>
    </w:tblPr>
  </w:style>
  <w:style w:type="table" w:customStyle="1" w:styleId="afffffffd">
    <w:basedOn w:val="TableNormal1"/>
    <w:tblPr>
      <w:tblStyleRowBandSize w:val="1"/>
      <w:tblStyleColBandSize w:val="1"/>
      <w:tblCellMar>
        <w:left w:w="115" w:type="dxa"/>
        <w:right w:w="115" w:type="dxa"/>
      </w:tblCellMar>
    </w:tblPr>
  </w:style>
  <w:style w:type="table" w:customStyle="1" w:styleId="afffffffe">
    <w:basedOn w:val="TableNormal1"/>
    <w:tblPr>
      <w:tblStyleRowBandSize w:val="1"/>
      <w:tblStyleColBandSize w:val="1"/>
      <w:tblCellMar>
        <w:left w:w="115" w:type="dxa"/>
        <w:right w:w="115" w:type="dxa"/>
      </w:tblCellMar>
    </w:tblPr>
  </w:style>
  <w:style w:type="table" w:customStyle="1" w:styleId="affffffff">
    <w:basedOn w:val="TableNormal1"/>
    <w:tblPr>
      <w:tblStyleRowBandSize w:val="1"/>
      <w:tblStyleColBandSize w:val="1"/>
      <w:tblCellMar>
        <w:top w:w="15" w:type="dxa"/>
        <w:left w:w="15" w:type="dxa"/>
        <w:bottom w:w="15" w:type="dxa"/>
        <w:right w:w="15" w:type="dxa"/>
      </w:tblCellMar>
    </w:tblPr>
  </w:style>
  <w:style w:type="table" w:customStyle="1" w:styleId="affffffff0">
    <w:basedOn w:val="TableNormal1"/>
    <w:tblPr>
      <w:tblStyleRowBandSize w:val="1"/>
      <w:tblStyleColBandSize w:val="1"/>
      <w:tblCellMar>
        <w:top w:w="15" w:type="dxa"/>
        <w:left w:w="15" w:type="dxa"/>
        <w:bottom w:w="15" w:type="dxa"/>
        <w:right w:w="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15" w:type="dxa"/>
        <w:right w:w="115" w:type="dxa"/>
      </w:tblCellMar>
    </w:tblPr>
  </w:style>
  <w:style w:type="table" w:customStyle="1" w:styleId="affffffff4">
    <w:basedOn w:val="TableNormal1"/>
    <w:tblPr>
      <w:tblStyleRowBandSize w:val="1"/>
      <w:tblStyleColBandSize w:val="1"/>
      <w:tblCellMar>
        <w:left w:w="115" w:type="dxa"/>
        <w:right w:w="115" w:type="dxa"/>
      </w:tblCellMar>
    </w:tblPr>
  </w:style>
  <w:style w:type="table" w:customStyle="1" w:styleId="affffffff5">
    <w:basedOn w:val="TableNormal1"/>
    <w:tblPr>
      <w:tblStyleRowBandSize w:val="1"/>
      <w:tblStyleColBandSize w:val="1"/>
      <w:tblCellMar>
        <w:left w:w="115" w:type="dxa"/>
        <w:right w:w="115" w:type="dxa"/>
      </w:tblCellMar>
    </w:tblPr>
  </w:style>
  <w:style w:type="table" w:customStyle="1" w:styleId="affffffff6">
    <w:basedOn w:val="TableNormal1"/>
    <w:tblPr>
      <w:tblStyleRowBandSize w:val="1"/>
      <w:tblStyleColBandSize w:val="1"/>
      <w:tblCellMar>
        <w:left w:w="115" w:type="dxa"/>
        <w:right w:w="115" w:type="dxa"/>
      </w:tblCellMar>
    </w:tblPr>
  </w:style>
  <w:style w:type="table" w:customStyle="1" w:styleId="affffffff7">
    <w:basedOn w:val="TableNormal1"/>
    <w:tblPr>
      <w:tblStyleRowBandSize w:val="1"/>
      <w:tblStyleColBandSize w:val="1"/>
      <w:tblCellMar>
        <w:top w:w="100" w:type="dxa"/>
        <w:left w:w="100" w:type="dxa"/>
        <w:bottom w:w="100" w:type="dxa"/>
        <w:right w:w="100" w:type="dxa"/>
      </w:tblCellMar>
    </w:tblPr>
  </w:style>
  <w:style w:type="table" w:customStyle="1" w:styleId="affffffff8">
    <w:basedOn w:val="TableNormal1"/>
    <w:tblPr>
      <w:tblStyleRowBandSize w:val="1"/>
      <w:tblStyleColBandSize w:val="1"/>
      <w:tblCellMar>
        <w:top w:w="15" w:type="dxa"/>
        <w:left w:w="15" w:type="dxa"/>
        <w:bottom w:w="15" w:type="dxa"/>
        <w:right w:w="15" w:type="dxa"/>
      </w:tblCellMar>
    </w:tblPr>
  </w:style>
  <w:style w:type="table" w:customStyle="1" w:styleId="affffffff9">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a">
    <w:basedOn w:val="TableNormal1"/>
    <w:tblPr>
      <w:tblStyleRowBandSize w:val="1"/>
      <w:tblStyleColBandSize w:val="1"/>
    </w:tblPr>
  </w:style>
  <w:style w:type="table" w:customStyle="1" w:styleId="affffffffb">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c">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d">
    <w:basedOn w:val="TableNormal1"/>
    <w:tblPr>
      <w:tblStyleRowBandSize w:val="1"/>
      <w:tblStyleColBandSize w:val="1"/>
      <w:tblCellMar>
        <w:top w:w="100" w:type="dxa"/>
        <w:left w:w="100" w:type="dxa"/>
        <w:bottom w:w="100" w:type="dxa"/>
        <w:right w:w="100" w:type="dxa"/>
      </w:tblCellMar>
    </w:tblPr>
  </w:style>
  <w:style w:type="table" w:customStyle="1" w:styleId="affffffffe">
    <w:basedOn w:val="TableNormal1"/>
    <w:tblPr>
      <w:tblStyleRowBandSize w:val="1"/>
      <w:tblStyleColBandSize w:val="1"/>
      <w:tblCellMar>
        <w:top w:w="100" w:type="dxa"/>
        <w:left w:w="100" w:type="dxa"/>
        <w:bottom w:w="100" w:type="dxa"/>
        <w:right w:w="100" w:type="dxa"/>
      </w:tblCellMar>
    </w:tblPr>
  </w:style>
  <w:style w:type="table" w:customStyle="1" w:styleId="afffffffff">
    <w:basedOn w:val="TableNormal1"/>
    <w:tblPr>
      <w:tblStyleRowBandSize w:val="1"/>
      <w:tblStyleColBandSize w:val="1"/>
      <w:tblCellMar>
        <w:top w:w="100" w:type="dxa"/>
        <w:left w:w="100" w:type="dxa"/>
        <w:bottom w:w="100" w:type="dxa"/>
        <w:right w:w="100" w:type="dxa"/>
      </w:tblCellMar>
    </w:tblPr>
  </w:style>
  <w:style w:type="table" w:customStyle="1" w:styleId="afffffffff0">
    <w:basedOn w:val="TableNormal1"/>
    <w:tblPr>
      <w:tblStyleRowBandSize w:val="1"/>
      <w:tblStyleColBandSize w:val="1"/>
      <w:tblCellMar>
        <w:top w:w="15" w:type="dxa"/>
        <w:left w:w="15" w:type="dxa"/>
        <w:bottom w:w="15" w:type="dxa"/>
        <w:right w:w="15" w:type="dxa"/>
      </w:tblCellMar>
    </w:tblPr>
  </w:style>
  <w:style w:type="table" w:customStyle="1" w:styleId="afffffffff1">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f2">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f3">
    <w:basedOn w:val="TableNormal1"/>
    <w:tblPr>
      <w:tblStyleRowBandSize w:val="1"/>
      <w:tblStyleColBandSize w:val="1"/>
      <w:tblCellMar>
        <w:top w:w="15" w:type="dxa"/>
        <w:left w:w="15" w:type="dxa"/>
        <w:bottom w:w="15" w:type="dxa"/>
        <w:right w:w="15" w:type="dxa"/>
      </w:tblCellMar>
    </w:tblPr>
  </w:style>
  <w:style w:type="table" w:customStyle="1" w:styleId="afffffffff4">
    <w:basedOn w:val="TableNormal1"/>
    <w:tblPr>
      <w:tblStyleRowBandSize w:val="1"/>
      <w:tblStyleColBandSize w:val="1"/>
      <w:tblCellMar>
        <w:top w:w="15" w:type="dxa"/>
        <w:left w:w="15" w:type="dxa"/>
        <w:bottom w:w="15" w:type="dxa"/>
        <w:right w:w="15" w:type="dxa"/>
      </w:tblCellMar>
    </w:tblPr>
  </w:style>
  <w:style w:type="table" w:customStyle="1" w:styleId="afffffffff5">
    <w:basedOn w:val="TableNormal1"/>
    <w:tblPr>
      <w:tblStyleRowBandSize w:val="1"/>
      <w:tblStyleColBandSize w:val="1"/>
      <w:tblCellMar>
        <w:top w:w="15" w:type="dxa"/>
        <w:left w:w="15" w:type="dxa"/>
        <w:bottom w:w="15" w:type="dxa"/>
        <w:right w:w="15" w:type="dxa"/>
      </w:tblCellMar>
    </w:tblPr>
  </w:style>
  <w:style w:type="table" w:customStyle="1" w:styleId="afffffffff6">
    <w:basedOn w:val="TableNormal1"/>
    <w:tblPr>
      <w:tblStyleRowBandSize w:val="1"/>
      <w:tblStyleColBandSize w:val="1"/>
      <w:tblCellMar>
        <w:top w:w="15" w:type="dxa"/>
        <w:left w:w="15" w:type="dxa"/>
        <w:bottom w:w="15" w:type="dxa"/>
        <w:right w:w="15" w:type="dxa"/>
      </w:tblCellMar>
    </w:tblPr>
  </w:style>
  <w:style w:type="table" w:customStyle="1" w:styleId="afffffffff7">
    <w:basedOn w:val="TableNormal1"/>
    <w:tblPr>
      <w:tblStyleRowBandSize w:val="1"/>
      <w:tblStyleColBandSize w:val="1"/>
      <w:tblCellMar>
        <w:top w:w="15" w:type="dxa"/>
        <w:left w:w="15" w:type="dxa"/>
        <w:bottom w:w="15" w:type="dxa"/>
        <w:right w:w="15" w:type="dxa"/>
      </w:tblCellMar>
    </w:tblPr>
  </w:style>
  <w:style w:type="table" w:customStyle="1" w:styleId="afffffffff8">
    <w:basedOn w:val="TableNormal1"/>
    <w:tblPr>
      <w:tblStyleRowBandSize w:val="1"/>
      <w:tblStyleColBandSize w:val="1"/>
      <w:tblCellMar>
        <w:top w:w="15" w:type="dxa"/>
        <w:left w:w="15" w:type="dxa"/>
        <w:bottom w:w="15" w:type="dxa"/>
        <w:right w:w="15" w:type="dxa"/>
      </w:tblCellMar>
    </w:tblPr>
  </w:style>
  <w:style w:type="table" w:customStyle="1" w:styleId="afffffffff9">
    <w:basedOn w:val="TableNormal1"/>
    <w:tblPr>
      <w:tblStyleRowBandSize w:val="1"/>
      <w:tblStyleColBandSize w:val="1"/>
      <w:tblCellMar>
        <w:top w:w="15" w:type="dxa"/>
        <w:left w:w="15" w:type="dxa"/>
        <w:bottom w:w="15" w:type="dxa"/>
        <w:right w:w="15" w:type="dxa"/>
      </w:tblCellMar>
    </w:tblPr>
  </w:style>
  <w:style w:type="table" w:customStyle="1" w:styleId="afffffffffa">
    <w:basedOn w:val="TableNormal1"/>
    <w:tblPr>
      <w:tblStyleRowBandSize w:val="1"/>
      <w:tblStyleColBandSize w:val="1"/>
      <w:tblCellMar>
        <w:top w:w="15" w:type="dxa"/>
        <w:left w:w="15" w:type="dxa"/>
        <w:bottom w:w="15" w:type="dxa"/>
        <w:right w:w="15" w:type="dxa"/>
      </w:tblCellMar>
    </w:tblPr>
  </w:style>
  <w:style w:type="table" w:customStyle="1" w:styleId="afffffffffb">
    <w:basedOn w:val="TableNormal1"/>
    <w:tblPr>
      <w:tblStyleRowBandSize w:val="1"/>
      <w:tblStyleColBandSize w:val="1"/>
      <w:tblCellMar>
        <w:top w:w="15" w:type="dxa"/>
        <w:left w:w="15" w:type="dxa"/>
        <w:bottom w:w="15" w:type="dxa"/>
        <w:right w:w="15" w:type="dxa"/>
      </w:tblCellMar>
    </w:tblPr>
  </w:style>
  <w:style w:type="paragraph" w:customStyle="1" w:styleId="Priedai">
    <w:name w:val="Priedai"/>
    <w:basedOn w:val="prastasis"/>
    <w:rsid w:val="005A6C36"/>
    <w:pPr>
      <w:jc w:val="center"/>
    </w:pPr>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6894">
      <w:bodyDiv w:val="1"/>
      <w:marLeft w:val="0"/>
      <w:marRight w:val="0"/>
      <w:marTop w:val="0"/>
      <w:marBottom w:val="0"/>
      <w:divBdr>
        <w:top w:val="none" w:sz="0" w:space="0" w:color="auto"/>
        <w:left w:val="none" w:sz="0" w:space="0" w:color="auto"/>
        <w:bottom w:val="none" w:sz="0" w:space="0" w:color="auto"/>
        <w:right w:val="none" w:sz="0" w:space="0" w:color="auto"/>
      </w:divBdr>
    </w:div>
    <w:div w:id="1495100520">
      <w:bodyDiv w:val="1"/>
      <w:marLeft w:val="0"/>
      <w:marRight w:val="0"/>
      <w:marTop w:val="0"/>
      <w:marBottom w:val="0"/>
      <w:divBdr>
        <w:top w:val="none" w:sz="0" w:space="0" w:color="auto"/>
        <w:left w:val="none" w:sz="0" w:space="0" w:color="auto"/>
        <w:bottom w:val="none" w:sz="0" w:space="0" w:color="auto"/>
        <w:right w:val="none" w:sz="0" w:space="0" w:color="auto"/>
      </w:divBdr>
    </w:div>
    <w:div w:id="1856380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pqkq86a1S69E0Z9YrHnOC7SPWA==">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EFC8E7-6466-4A72-B309-7293422A3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4069</Words>
  <Characters>23197</Characters>
  <Application>Microsoft Office Word</Application>
  <DocSecurity>0</DocSecurity>
  <Lines>193</Lines>
  <Paragraphs>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VioletaS6 B</cp:lastModifiedBy>
  <cp:revision>2</cp:revision>
  <dcterms:created xsi:type="dcterms:W3CDTF">2026-09-15T13:27:00Z</dcterms:created>
  <dcterms:modified xsi:type="dcterms:W3CDTF">2026-09-15T13:27:00Z</dcterms:modified>
</cp:coreProperties>
</file>