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4F" w:rsidRDefault="00A833D9">
      <w:pPr>
        <w:pStyle w:val="Standard"/>
        <w:spacing w:line="360" w:lineRule="auto"/>
        <w:ind w:firstLine="708"/>
        <w:jc w:val="center"/>
        <w:rPr>
          <w:rFonts w:ascii="Times New Roman" w:hAnsi="Times New Roman"/>
          <w:b/>
          <w:bCs/>
          <w:sz w:val="28"/>
          <w:szCs w:val="28"/>
        </w:rPr>
      </w:pPr>
      <w:r>
        <w:rPr>
          <w:rFonts w:ascii="Times New Roman" w:hAnsi="Times New Roman"/>
          <w:b/>
          <w:bCs/>
          <w:noProof/>
          <w:sz w:val="28"/>
          <w:szCs w:val="28"/>
          <w:lang w:val="en-US" w:eastAsia="en-US"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813960" cy="861119"/>
            <wp:effectExtent l="0" t="0" r="519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13960" cy="861119"/>
                    </a:xfrm>
                    <a:prstGeom prst="rect">
                      <a:avLst/>
                    </a:prstGeom>
                  </pic:spPr>
                </pic:pic>
              </a:graphicData>
            </a:graphic>
          </wp:anchor>
        </w:drawing>
      </w:r>
    </w:p>
    <w:p w:rsidR="00B4634F" w:rsidRDefault="00B4634F">
      <w:pPr>
        <w:pStyle w:val="Standard"/>
        <w:spacing w:line="360" w:lineRule="auto"/>
        <w:ind w:firstLine="708"/>
        <w:jc w:val="center"/>
        <w:rPr>
          <w:rFonts w:ascii="Times New Roman" w:hAnsi="Times New Roman"/>
          <w:b/>
          <w:bCs/>
          <w:sz w:val="28"/>
          <w:szCs w:val="28"/>
        </w:rPr>
      </w:pPr>
    </w:p>
    <w:p w:rsidR="00B4634F" w:rsidRDefault="00B4634F">
      <w:pPr>
        <w:pStyle w:val="Standard"/>
        <w:spacing w:line="360" w:lineRule="auto"/>
        <w:ind w:firstLine="708"/>
        <w:jc w:val="center"/>
        <w:rPr>
          <w:rFonts w:ascii="Times New Roman" w:hAnsi="Times New Roman"/>
          <w:b/>
          <w:bCs/>
          <w:sz w:val="28"/>
          <w:szCs w:val="28"/>
        </w:rPr>
      </w:pPr>
    </w:p>
    <w:p w:rsidR="00B4634F" w:rsidRDefault="00B4634F">
      <w:pPr>
        <w:pStyle w:val="Standard"/>
        <w:spacing w:line="360" w:lineRule="auto"/>
        <w:ind w:firstLine="708"/>
        <w:jc w:val="center"/>
        <w:rPr>
          <w:rFonts w:ascii="Times New Roman" w:hAnsi="Times New Roman"/>
          <w:b/>
          <w:bCs/>
          <w:sz w:val="28"/>
          <w:szCs w:val="28"/>
        </w:rPr>
      </w:pPr>
    </w:p>
    <w:p w:rsidR="00B4634F" w:rsidRDefault="00B4634F">
      <w:pPr>
        <w:pStyle w:val="Standard"/>
        <w:spacing w:line="360" w:lineRule="auto"/>
        <w:jc w:val="center"/>
        <w:rPr>
          <w:rFonts w:ascii="Times New Roman" w:hAnsi="Times New Roman"/>
          <w:b/>
          <w:bCs/>
          <w:sz w:val="28"/>
          <w:szCs w:val="28"/>
        </w:rPr>
      </w:pPr>
    </w:p>
    <w:p w:rsidR="00B4634F" w:rsidRDefault="00A833D9">
      <w:pPr>
        <w:pStyle w:val="Standard"/>
        <w:spacing w:line="360" w:lineRule="auto"/>
        <w:jc w:val="both"/>
        <w:rPr>
          <w:rFonts w:ascii="Sitka Banner" w:hAnsi="Sitka Banner"/>
        </w:rPr>
      </w:pPr>
      <w:r>
        <w:rPr>
          <w:rFonts w:ascii="Sitka Banner" w:hAnsi="Sitka Banner"/>
          <w:b/>
          <w:bCs/>
        </w:rPr>
        <w:t xml:space="preserve">    Brangūs Tėvai,</w:t>
      </w:r>
    </w:p>
    <w:p w:rsidR="00B4634F" w:rsidRDefault="00A833D9">
      <w:pPr>
        <w:pStyle w:val="Standard"/>
        <w:spacing w:line="360" w:lineRule="auto"/>
        <w:jc w:val="both"/>
        <w:rPr>
          <w:rFonts w:ascii="Times New Roman" w:hAnsi="Times New Roman"/>
        </w:rPr>
      </w:pPr>
      <w:r>
        <w:rPr>
          <w:rFonts w:ascii="Times New Roman" w:hAnsi="Times New Roman"/>
        </w:rPr>
        <w:tab/>
        <w:t>vaikų, kaip silpniausių visuomenės narių teisių ir teisėtų interesų apsauga yra laikoma valstybės prioritetu. Lietuvos Respublikos Konstitucijoje yra nustatyta, kad tėvų teisė ir pareiga auklėti savo vaikus dorais žmonėmis ir iki pilnametystės juos išla</w:t>
      </w:r>
      <w:r>
        <w:rPr>
          <w:rFonts w:ascii="Times New Roman" w:hAnsi="Times New Roman"/>
        </w:rPr>
        <w:t>ikyti. Tėvai privalo sudaryti tinkamas sąlygas vaikui augti, vystytis ir tobulėti, turi pareigą auklėti savo vaikus humaniškais, dorais žmonėmis. Abu tėvai vienodai privalo rūpintis vaiko auklėjimu.</w:t>
      </w:r>
    </w:p>
    <w:p w:rsidR="00B4634F" w:rsidRDefault="00A833D9">
      <w:pPr>
        <w:pStyle w:val="Standard"/>
        <w:spacing w:line="360" w:lineRule="auto"/>
        <w:jc w:val="both"/>
        <w:rPr>
          <w:rFonts w:ascii="Times New Roman" w:hAnsi="Times New Roman"/>
        </w:rPr>
      </w:pPr>
      <w:r>
        <w:rPr>
          <w:rFonts w:ascii="Times New Roman" w:hAnsi="Times New Roman"/>
        </w:rPr>
        <w:tab/>
        <w:t>Vadovaujantis Lietuvos Respublikos Vaiko teisių apsaugo</w:t>
      </w:r>
      <w:r>
        <w:rPr>
          <w:rFonts w:ascii="Times New Roman" w:hAnsi="Times New Roman"/>
        </w:rPr>
        <w:t>s pagrindų įstatymu tėvai:</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privalo užtikrinti ir sudaryti sąlygas vaikui mokytis iki 16 metų;</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turi užtikrinti vaiko apsaugą nuo visų smurto formų: fizinio, psichologinio, seksualinio ir nepriežiūros. Draudžiamas visų formų smurtas prieš vaikus;</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turi   ugdy</w:t>
      </w:r>
      <w:r>
        <w:rPr>
          <w:rFonts w:ascii="Times New Roman" w:hAnsi="Times New Roman"/>
        </w:rPr>
        <w:t>ti vaiką taip, kad jis taptų atsakingu visuomenės nariu;</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laikytųsi visuotinai pripažintų nustatytų elgesio normų buityje, švietimo, kitose įstaigose, viešosiose vietose;</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mokyti nesmurtinio elgesio;</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gerbtų pačius tėvus, mokytojus, suaugusius asmenis, vaikus</w:t>
      </w:r>
      <w:r>
        <w:rPr>
          <w:rFonts w:ascii="Times New Roman" w:hAnsi="Times New Roman"/>
        </w:rPr>
        <w:t xml:space="preserve"> ir nepažeistų jų teisių ir laisvių;</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tausotų kultūros, istorijos vertybes, gamtą, kitų asmenų nuosavybę;</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vaikui turi būti ugdoma nuostata nevartoti tabako gaminių, alkoholinių gėrimų, narkotinių, psichotropinių medžiagų;</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 xml:space="preserve">vaikas turi būti saugomas nuo </w:t>
      </w:r>
      <w:r>
        <w:rPr>
          <w:rFonts w:ascii="Times New Roman" w:hAnsi="Times New Roman"/>
        </w:rPr>
        <w:t>kompiuterinių žaidimų, kurie jie sekina fiziškai ir kelia grėsmę jo sveikatai ir saugumui;</w:t>
      </w:r>
    </w:p>
    <w:p w:rsidR="00B4634F" w:rsidRDefault="00A833D9">
      <w:pPr>
        <w:pStyle w:val="Standard"/>
        <w:numPr>
          <w:ilvl w:val="0"/>
          <w:numId w:val="3"/>
        </w:numPr>
        <w:spacing w:line="360" w:lineRule="auto"/>
        <w:jc w:val="both"/>
        <w:rPr>
          <w:rFonts w:ascii="Times New Roman" w:hAnsi="Times New Roman"/>
        </w:rPr>
      </w:pPr>
      <w:r>
        <w:rPr>
          <w:rFonts w:ascii="Times New Roman" w:hAnsi="Times New Roman"/>
        </w:rPr>
        <w:t>draudžiama rodyti vaikui filmus, garso, vaizdo įrašus, laikraščius, žurnalus, kurie tiesiogiai skatina ar propaguoja vaiko nepagarbą, kitiems asmenims, žiaurų elgesį</w:t>
      </w:r>
      <w:r>
        <w:rPr>
          <w:rFonts w:ascii="Times New Roman" w:hAnsi="Times New Roman"/>
        </w:rPr>
        <w:t>, smurtą, pornografiją, ar kitaip kenkia vaikui;</w:t>
      </w:r>
    </w:p>
    <w:p w:rsidR="00B4634F" w:rsidRDefault="00A833D9">
      <w:pPr>
        <w:pStyle w:val="Standard"/>
        <w:spacing w:line="360" w:lineRule="auto"/>
        <w:jc w:val="both"/>
        <w:rPr>
          <w:rFonts w:ascii="Times New Roman" w:hAnsi="Times New Roman"/>
        </w:rPr>
      </w:pPr>
      <w:r>
        <w:rPr>
          <w:rFonts w:ascii="Times New Roman" w:hAnsi="Times New Roman"/>
        </w:rPr>
        <w:tab/>
        <w:t>Tėvams, kurie pažeidžia vaiko teises, vengia arba nevykdo pareigos auklėti, mokyti, prižiūrėti, išlaikyti vaiką, žiauriai elgiasi su vaiku, taikoma įstatymų nustatyta civilinė, administracinė ar baudžiamoji</w:t>
      </w:r>
      <w:r>
        <w:rPr>
          <w:rFonts w:ascii="Times New Roman" w:hAnsi="Times New Roman"/>
        </w:rPr>
        <w:t xml:space="preserve"> atsakomybė.</w:t>
      </w:r>
    </w:p>
    <w:p w:rsidR="00B4634F" w:rsidRDefault="00A833D9">
      <w:pPr>
        <w:pStyle w:val="Standard"/>
        <w:spacing w:line="360" w:lineRule="auto"/>
        <w:jc w:val="both"/>
        <w:rPr>
          <w:rFonts w:ascii="Times New Roman" w:hAnsi="Times New Roman"/>
        </w:rPr>
      </w:pPr>
      <w:r>
        <w:rPr>
          <w:rFonts w:ascii="Times New Roman" w:hAnsi="Times New Roman"/>
        </w:rPr>
        <w:tab/>
        <w:t xml:space="preserve"> Civilinis kodeksas nustato, kad už nepilnamečio iki 14 m. padarytą žalą atsako tėvai ar globėjai, jeigu neįrodo, kad žala atsirado ne dėl jų kaltės, t. y. jeigu nepilnametis padaro teisės pažeidimą, dėl kurio kitas asmuo patyrė turtinę ar ki</w:t>
      </w:r>
      <w:r>
        <w:rPr>
          <w:rFonts w:ascii="Times New Roman" w:hAnsi="Times New Roman"/>
        </w:rPr>
        <w:t xml:space="preserve">tokią žalą, ir, jis nėra tokio amžiaus, nuo kurio </w:t>
      </w:r>
      <w:r>
        <w:rPr>
          <w:rFonts w:ascii="Times New Roman" w:hAnsi="Times New Roman"/>
        </w:rPr>
        <w:lastRenderedPageBreak/>
        <w:t>jį galima būtų patraukti teisinėn atsakomybėn, nukentėjusiojo atstovai turi teisę kreiptis į teismą su civiliniu ieškiniu dėl turtinės ir neturtinės žalos atlyginimo.</w:t>
      </w:r>
    </w:p>
    <w:p w:rsidR="00B4634F" w:rsidRDefault="00A833D9">
      <w:pPr>
        <w:pStyle w:val="Standard"/>
        <w:spacing w:line="360" w:lineRule="auto"/>
        <w:jc w:val="both"/>
        <w:rPr>
          <w:rFonts w:ascii="Times New Roman" w:hAnsi="Times New Roman"/>
        </w:rPr>
      </w:pPr>
      <w:r>
        <w:rPr>
          <w:rFonts w:ascii="Times New Roman" w:hAnsi="Times New Roman"/>
        </w:rPr>
        <w:tab/>
        <w:t xml:space="preserve">Už vaiko teisių pažeidimą (pvz. teisė </w:t>
      </w:r>
      <w:r>
        <w:rPr>
          <w:rFonts w:ascii="Times New Roman" w:hAnsi="Times New Roman"/>
        </w:rPr>
        <w:t>mokytis, teisė į tinkamas gyvenimo sąlygas, poilsį ir t.t.), už tėvų valdžios panaudojimą priešingai vaiko interesams (pvz. tėvų girtavimas neužtikrinant vaikų tinkamos priežiūros,  palikimą vaikų be priežiūros) tėvai yra traukiami administracinėn atsakomy</w:t>
      </w:r>
      <w:r>
        <w:rPr>
          <w:rFonts w:ascii="Times New Roman" w:hAnsi="Times New Roman"/>
        </w:rPr>
        <w:t xml:space="preserve">bėn. Policija visais atvejais, gavusi informacijos apie vaiko teisių pažeidimus, nedelsiant apie tai informuoja Valstybinę vaiko teisių apsaugos ir įvaikinimo tarnybą bei savivaldybės administracijos direktorių.  </w:t>
      </w:r>
    </w:p>
    <w:p w:rsidR="00B4634F" w:rsidRDefault="00A833D9">
      <w:pPr>
        <w:pStyle w:val="Standard"/>
        <w:spacing w:line="360" w:lineRule="auto"/>
        <w:jc w:val="both"/>
        <w:rPr>
          <w:rFonts w:ascii="Times New Roman" w:hAnsi="Times New Roman"/>
        </w:rPr>
      </w:pPr>
      <w:r>
        <w:rPr>
          <w:rFonts w:ascii="Times New Roman" w:hAnsi="Times New Roman"/>
        </w:rPr>
        <w:tab/>
        <w:t>Jeigu tėvai ar globėjai piktnaudžiauja sa</w:t>
      </w:r>
      <w:r>
        <w:rPr>
          <w:rFonts w:ascii="Times New Roman" w:hAnsi="Times New Roman"/>
        </w:rPr>
        <w:t>vo pareigomis, fiziškai ar psichiškai gniuždo vaiką, žiauriai elgiasi su vaiku, smurtauja prie vaiką, įtraukia girtauti ar daryti nusikalstamas veikas, už minėtus veiksmus yra atsakoma pagal  Lietuvos Respublikos baudžiamąjį kodeksą.</w:t>
      </w:r>
    </w:p>
    <w:p w:rsidR="00B4634F" w:rsidRDefault="00A833D9">
      <w:pPr>
        <w:pStyle w:val="Standard"/>
        <w:spacing w:line="360" w:lineRule="auto"/>
        <w:jc w:val="both"/>
        <w:rPr>
          <w:rFonts w:ascii="Times New Roman" w:hAnsi="Times New Roman"/>
        </w:rPr>
      </w:pPr>
      <w:r>
        <w:rPr>
          <w:rFonts w:ascii="Times New Roman" w:hAnsi="Times New Roman"/>
        </w:rPr>
        <w:tab/>
        <w:t xml:space="preserve">Taip pat, primename, </w:t>
      </w:r>
      <w:r>
        <w:rPr>
          <w:rFonts w:ascii="Times New Roman" w:hAnsi="Times New Roman"/>
        </w:rPr>
        <w:t>kad pagal Lietuvos Respublikos įstatymus, nepilnamečiams iki 18 metų yra draudžiama turėti ir vartoti tabaką, tabako gaminius (elektronines cigaretes), energetinius gėrimus, iki 20 metų draudžiama turėti ir vartoti alkoholinius gėrimus.  Gavus informacijos</w:t>
      </w:r>
      <w:r>
        <w:rPr>
          <w:rFonts w:ascii="Times New Roman" w:hAnsi="Times New Roman"/>
        </w:rPr>
        <w:t xml:space="preserve"> apie nepilnametį, pažeidusį nustatytus draudimus, policija visais atvejais turimą informaciją perduoda Valstybinei vaiko teisių apsaugos ir įvaikinimo tarnybai bei Šalčininkų r. sav. administracijos direktoriui.  </w:t>
      </w:r>
    </w:p>
    <w:p w:rsidR="00B4634F" w:rsidRDefault="00A833D9">
      <w:pPr>
        <w:pStyle w:val="Standard"/>
        <w:spacing w:line="360" w:lineRule="auto"/>
        <w:jc w:val="both"/>
        <w:rPr>
          <w:rFonts w:ascii="Times New Roman" w:hAnsi="Times New Roman"/>
        </w:rPr>
      </w:pPr>
      <w:r>
        <w:rPr>
          <w:rFonts w:ascii="Sitka Banner" w:hAnsi="Sitka Banner"/>
        </w:rPr>
        <w:tab/>
      </w:r>
      <w:r>
        <w:rPr>
          <w:rFonts w:ascii="Times New Roman" w:hAnsi="Times New Roman"/>
        </w:rPr>
        <w:t>Pagal  Lietuvos Respublikos administraci</w:t>
      </w:r>
      <w:r>
        <w:rPr>
          <w:rFonts w:ascii="Times New Roman" w:hAnsi="Times New Roman"/>
        </w:rPr>
        <w:t>nių teisės nusižengimų kodeksą atsakomybė kyla nuo 16 metų. Pagal  Lietuvos Respublikos baudžiamąjį kodeksą atsako asmuo, kuriam iki veikos padarymo buvo suėję 16 metų, o už tokius nusikaltimus kaip nužudymas, sunkus sveikatos sutrikdymas, išžaginimas, vag</w:t>
      </w:r>
      <w:r>
        <w:rPr>
          <w:rFonts w:ascii="Times New Roman" w:hAnsi="Times New Roman"/>
        </w:rPr>
        <w:t>ystė, plėšimas, didelės vertės turto sunaikinimas ar sugadinimas baudžiamoji atsakomybė kyla nuo 14 metų.</w:t>
      </w:r>
    </w:p>
    <w:p w:rsidR="00B4634F" w:rsidRDefault="00A833D9">
      <w:pPr>
        <w:pStyle w:val="Standard"/>
        <w:spacing w:line="360" w:lineRule="auto"/>
        <w:jc w:val="both"/>
        <w:rPr>
          <w:rFonts w:ascii="Sitka Banner" w:hAnsi="Sitka Banner"/>
        </w:rPr>
      </w:pPr>
      <w:r>
        <w:rPr>
          <w:rFonts w:ascii="Sitka Banner" w:hAnsi="Sitka Banner"/>
        </w:rPr>
        <w:tab/>
      </w:r>
      <w:r>
        <w:rPr>
          <w:rFonts w:ascii="Times New Roman" w:hAnsi="Times New Roman" w:cs="Times New Roman"/>
        </w:rPr>
        <w:t xml:space="preserve">Be to, informuojame, kad artėjant žiemos šventėms kyla pavojus dėl nesaugaus pirotechnikos priemonių naudojimo. </w:t>
      </w:r>
      <w:r>
        <w:rPr>
          <w:rFonts w:ascii="Times New Roman" w:hAnsi="Times New Roman" w:cs="Times New Roman"/>
        </w:rPr>
        <w:t xml:space="preserve">Atminkite, kad mokyklos teritorijoje </w:t>
      </w:r>
      <w:r>
        <w:rPr>
          <w:rFonts w:ascii="Times New Roman" w:hAnsi="Times New Roman" w:cs="Times New Roman"/>
        </w:rPr>
        <w:t>ar juo labiau mokykloje draudžiama naudoti pirotechnikos priemones. Atsižvelgiant į jų pavojingumo laipsnį, nustatytą įstatymuose, pirotechnikos priemones įsigyti draudžiama vaikams iki 14 metų, o kai kurias pirotechnikos priemones – nuo 16 ar 18 metų. Yra</w:t>
      </w:r>
      <w:r>
        <w:rPr>
          <w:rFonts w:ascii="Times New Roman" w:hAnsi="Times New Roman" w:cs="Times New Roman"/>
        </w:rPr>
        <w:t xml:space="preserve"> tokių pirotechnikos priemonių, kurias naudoti ir įsigyti gali tik profesionalūs pirotechnikai. </w:t>
      </w:r>
      <w:r>
        <w:rPr>
          <w:rFonts w:ascii="Times New Roman" w:hAnsi="Times New Roman" w:cs="Times New Roman"/>
        </w:rPr>
        <w:t xml:space="preserve">Draudžiama naudoti civilines pirotechnikos priemones arčiau kaip 30 metrų nuo mokyklų. Už nepilnamečių iki 16 m. padarytus pažeidimus kyla atsakomybė jų tėvams </w:t>
      </w:r>
      <w:r>
        <w:rPr>
          <w:rFonts w:ascii="Times New Roman" w:hAnsi="Times New Roman" w:cs="Times New Roman"/>
        </w:rPr>
        <w:t>ar globėjams.</w:t>
      </w:r>
    </w:p>
    <w:p w:rsidR="00B4634F" w:rsidRDefault="00A833D9">
      <w:pPr>
        <w:pStyle w:val="Standard"/>
        <w:spacing w:line="360" w:lineRule="auto"/>
        <w:jc w:val="both"/>
        <w:rPr>
          <w:rFonts w:ascii="Sitka Banner" w:hAnsi="Sitka Banner"/>
        </w:rPr>
      </w:pPr>
      <w:r>
        <w:rPr>
          <w:rFonts w:ascii="Times New Roman" w:hAnsi="Times New Roman" w:cs="Times New Roman"/>
        </w:rPr>
        <w:tab/>
      </w:r>
    </w:p>
    <w:p w:rsidR="00B4634F" w:rsidRDefault="00A833D9">
      <w:pPr>
        <w:pStyle w:val="Standard"/>
        <w:jc w:val="both"/>
        <w:rPr>
          <w:rFonts w:ascii="Sitka Banner" w:hAnsi="Sitka Banner"/>
        </w:rPr>
      </w:pPr>
      <w:r>
        <w:rPr>
          <w:rFonts w:ascii="Sitka Banner" w:hAnsi="Sitka Banner"/>
        </w:rPr>
        <w:t xml:space="preserve">                                                                               </w:t>
      </w:r>
    </w:p>
    <w:p w:rsidR="00B4634F" w:rsidRDefault="00A833D9">
      <w:pPr>
        <w:pStyle w:val="Standard"/>
        <w:jc w:val="both"/>
        <w:rPr>
          <w:rFonts w:ascii="Sitka Banner" w:hAnsi="Sitka Banner"/>
        </w:rPr>
      </w:pPr>
      <w:r>
        <w:rPr>
          <w:rFonts w:ascii="Sitka Banner" w:hAnsi="Sitka Banner"/>
        </w:rPr>
        <w:t xml:space="preserve">                                                                                  </w:t>
      </w:r>
      <w:r>
        <w:rPr>
          <w:rFonts w:ascii="Sitka Banner" w:hAnsi="Sitka Banner"/>
          <w:b/>
          <w:bCs/>
        </w:rPr>
        <w:t>Vilniaus apskrities vyriausiojo policijos komisariato</w:t>
      </w:r>
    </w:p>
    <w:p w:rsidR="00B4634F" w:rsidRDefault="00A833D9">
      <w:pPr>
        <w:pStyle w:val="Standard"/>
        <w:jc w:val="both"/>
        <w:rPr>
          <w:rFonts w:ascii="Sitka Banner" w:hAnsi="Sitka Banner"/>
          <w:b/>
          <w:bCs/>
        </w:rPr>
      </w:pPr>
      <w:r>
        <w:rPr>
          <w:rFonts w:ascii="Sitka Banner" w:hAnsi="Sitka Banner"/>
          <w:b/>
          <w:bCs/>
        </w:rPr>
        <w:t xml:space="preserve">                       </w:t>
      </w:r>
      <w:r>
        <w:rPr>
          <w:rFonts w:ascii="Sitka Banner" w:hAnsi="Sitka Banner"/>
          <w:b/>
          <w:bCs/>
        </w:rPr>
        <w:t xml:space="preserve">                                                            Šalčininkų rajono policijos komisariatas</w:t>
      </w:r>
    </w:p>
    <w:p w:rsidR="00B4634F" w:rsidRPr="00043489" w:rsidRDefault="00B4634F" w:rsidP="00043489">
      <w:pPr>
        <w:pStyle w:val="Standard"/>
        <w:spacing w:line="360" w:lineRule="auto"/>
        <w:jc w:val="both"/>
        <w:rPr>
          <w:rFonts w:ascii="Sitka Banner" w:hAnsi="Sitka Banner"/>
        </w:rPr>
      </w:pPr>
    </w:p>
    <w:p w:rsidR="00B4634F" w:rsidRDefault="00B4634F">
      <w:pPr>
        <w:pStyle w:val="Standard"/>
        <w:spacing w:line="360" w:lineRule="auto"/>
        <w:jc w:val="both"/>
        <w:rPr>
          <w:rFonts w:ascii="Times New Roman" w:hAnsi="Times New Roman"/>
        </w:rPr>
      </w:pPr>
      <w:bookmarkStart w:id="0" w:name="_GoBack"/>
      <w:bookmarkEnd w:id="0"/>
    </w:p>
    <w:sectPr w:rsidR="00B4634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D9" w:rsidRDefault="00A833D9">
      <w:pPr>
        <w:rPr>
          <w:rFonts w:hint="eastAsia"/>
        </w:rPr>
      </w:pPr>
      <w:r>
        <w:separator/>
      </w:r>
    </w:p>
  </w:endnote>
  <w:endnote w:type="continuationSeparator" w:id="0">
    <w:p w:rsidR="00A833D9" w:rsidRDefault="00A833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D9" w:rsidRDefault="00A833D9">
      <w:pPr>
        <w:rPr>
          <w:rFonts w:hint="eastAsia"/>
        </w:rPr>
      </w:pPr>
      <w:r>
        <w:rPr>
          <w:color w:val="000000"/>
        </w:rPr>
        <w:ptab w:relativeTo="margin" w:alignment="center" w:leader="none"/>
      </w:r>
    </w:p>
  </w:footnote>
  <w:footnote w:type="continuationSeparator" w:id="0">
    <w:p w:rsidR="00A833D9" w:rsidRDefault="00A833D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55169"/>
    <w:multiLevelType w:val="multilevel"/>
    <w:tmpl w:val="C1CC391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01F247E"/>
    <w:multiLevelType w:val="multilevel"/>
    <w:tmpl w:val="7E1450E6"/>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2">
    <w:nsid w:val="46376EA1"/>
    <w:multiLevelType w:val="multilevel"/>
    <w:tmpl w:val="D8CA3A78"/>
    <w:styleLink w:val="WWNum1"/>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634F"/>
    <w:rsid w:val="00043489"/>
    <w:rsid w:val="00A833D9"/>
    <w:rsid w:val="00B4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b/>
      <w:bCs/>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paragraph" w:styleId="Footer">
    <w:name w:val="footer"/>
    <w:basedOn w:val="Standard"/>
    <w:pPr>
      <w:tabs>
        <w:tab w:val="center" w:pos="4320"/>
        <w:tab w:val="right" w:pos="8640"/>
      </w:tabs>
    </w:pPr>
    <w:rPr>
      <w:sz w:val="20"/>
      <w:szCs w:val="20"/>
      <w:lang w:eastAsia="en-US"/>
    </w:rPr>
  </w:style>
  <w:style w:type="paragraph" w:styleId="NormalWeb">
    <w:name w:val="Normal (Web)"/>
    <w:basedOn w:val="Standard"/>
    <w:pPr>
      <w:spacing w:before="120" w:after="120" w:line="300" w:lineRule="atLeast"/>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819"/>
        <w:tab w:val="right" w:pos="9638"/>
      </w:tabs>
    </w:pPr>
  </w:style>
  <w:style w:type="paragraph" w:customStyle="1" w:styleId="Textbodyindent">
    <w:name w:val="Text body indent"/>
    <w:basedOn w:val="Standard"/>
    <w:pPr>
      <w:ind w:firstLine="720"/>
      <w:jc w:val="both"/>
    </w:pPr>
    <w:rPr>
      <w:rFonts w:ascii="Arial" w:hAnsi="Arial"/>
      <w:szCs w:val="20"/>
      <w:lang w:eastAsia="en-US"/>
    </w:rPr>
  </w:style>
  <w:style w:type="paragraph" w:customStyle="1" w:styleId="Default">
    <w:name w:val="Default"/>
    <w:rPr>
      <w:rFonts w:ascii="Times New Roman" w:hAnsi="Times New Roman"/>
      <w:color w:val="000000"/>
    </w:rPr>
  </w:style>
  <w:style w:type="character" w:customStyle="1" w:styleId="NumberingSymbols">
    <w:name w:val="Numbering Symbols"/>
  </w:style>
  <w:style w:type="character" w:customStyle="1" w:styleId="Heading1Char">
    <w:name w:val="Heading 1 Char"/>
    <w:basedOn w:val="DefaultParagraphFont"/>
    <w:rPr>
      <w:b/>
      <w:bCs/>
      <w:i/>
      <w:iCs/>
      <w:sz w:val="28"/>
      <w:szCs w:val="24"/>
    </w:rPr>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lang w:eastAsia="lt-LT"/>
    </w:rPr>
  </w:style>
  <w:style w:type="character" w:customStyle="1" w:styleId="HeaderChar">
    <w:name w:val="Header Char"/>
    <w:basedOn w:val="DefaultParagraphFont"/>
    <w:rPr>
      <w:sz w:val="24"/>
      <w:szCs w:val="24"/>
      <w:lang w:eastAsia="lt-LT"/>
    </w:rPr>
  </w:style>
  <w:style w:type="character" w:customStyle="1" w:styleId="BodyTextIndentChar">
    <w:name w:val="Body Text Indent Char"/>
    <w:basedOn w:val="DefaultParagraphFont"/>
    <w:rPr>
      <w:rFonts w:ascii="Arial" w:hAnsi="Arial"/>
      <w:sz w:val="24"/>
    </w:rPr>
  </w:style>
  <w:style w:type="character" w:customStyle="1" w:styleId="StrongEmphasis">
    <w:name w:val="Strong Emphasis"/>
    <w:rPr>
      <w:b/>
      <w:bCs/>
    </w:rPr>
  </w:style>
  <w:style w:type="character" w:styleId="Emphasis">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b/>
      <w:bCs/>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paragraph" w:styleId="Footer">
    <w:name w:val="footer"/>
    <w:basedOn w:val="Standard"/>
    <w:pPr>
      <w:tabs>
        <w:tab w:val="center" w:pos="4320"/>
        <w:tab w:val="right" w:pos="8640"/>
      </w:tabs>
    </w:pPr>
    <w:rPr>
      <w:sz w:val="20"/>
      <w:szCs w:val="20"/>
      <w:lang w:eastAsia="en-US"/>
    </w:rPr>
  </w:style>
  <w:style w:type="paragraph" w:styleId="NormalWeb">
    <w:name w:val="Normal (Web)"/>
    <w:basedOn w:val="Standard"/>
    <w:pPr>
      <w:spacing w:before="120" w:after="120" w:line="300" w:lineRule="atLeast"/>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819"/>
        <w:tab w:val="right" w:pos="9638"/>
      </w:tabs>
    </w:pPr>
  </w:style>
  <w:style w:type="paragraph" w:customStyle="1" w:styleId="Textbodyindent">
    <w:name w:val="Text body indent"/>
    <w:basedOn w:val="Standard"/>
    <w:pPr>
      <w:ind w:firstLine="720"/>
      <w:jc w:val="both"/>
    </w:pPr>
    <w:rPr>
      <w:rFonts w:ascii="Arial" w:hAnsi="Arial"/>
      <w:szCs w:val="20"/>
      <w:lang w:eastAsia="en-US"/>
    </w:rPr>
  </w:style>
  <w:style w:type="paragraph" w:customStyle="1" w:styleId="Default">
    <w:name w:val="Default"/>
    <w:rPr>
      <w:rFonts w:ascii="Times New Roman" w:hAnsi="Times New Roman"/>
      <w:color w:val="000000"/>
    </w:rPr>
  </w:style>
  <w:style w:type="character" w:customStyle="1" w:styleId="NumberingSymbols">
    <w:name w:val="Numbering Symbols"/>
  </w:style>
  <w:style w:type="character" w:customStyle="1" w:styleId="Heading1Char">
    <w:name w:val="Heading 1 Char"/>
    <w:basedOn w:val="DefaultParagraphFont"/>
    <w:rPr>
      <w:b/>
      <w:bCs/>
      <w:i/>
      <w:iCs/>
      <w:sz w:val="28"/>
      <w:szCs w:val="24"/>
    </w:rPr>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lang w:eastAsia="lt-LT"/>
    </w:rPr>
  </w:style>
  <w:style w:type="character" w:customStyle="1" w:styleId="HeaderChar">
    <w:name w:val="Header Char"/>
    <w:basedOn w:val="DefaultParagraphFont"/>
    <w:rPr>
      <w:sz w:val="24"/>
      <w:szCs w:val="24"/>
      <w:lang w:eastAsia="lt-LT"/>
    </w:rPr>
  </w:style>
  <w:style w:type="character" w:customStyle="1" w:styleId="BodyTextIndentChar">
    <w:name w:val="Body Text Indent Char"/>
    <w:basedOn w:val="DefaultParagraphFont"/>
    <w:rPr>
      <w:rFonts w:ascii="Arial" w:hAnsi="Arial"/>
      <w:sz w:val="24"/>
    </w:rPr>
  </w:style>
  <w:style w:type="character" w:customStyle="1" w:styleId="StrongEmphasis">
    <w:name w:val="Strong Emphasis"/>
    <w:rPr>
      <w:b/>
      <w:bCs/>
    </w:rPr>
  </w:style>
  <w:style w:type="character" w:styleId="Emphasis">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cp:lastPrinted>2019-09-28T17:03:00Z</cp:lastPrinted>
  <dcterms:created xsi:type="dcterms:W3CDTF">2009-04-16T11:32:00Z</dcterms:created>
  <dcterms:modified xsi:type="dcterms:W3CDTF">2019-11-26T06:13:00Z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